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08" w:rsidRDefault="007D411E" w:rsidP="00E0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изготовлению протезов нижних конечностей </w:t>
      </w:r>
      <w:r w:rsidR="0028036B">
        <w:rPr>
          <w:rFonts w:ascii="Times New Roman" w:hAnsi="Times New Roman" w:cs="Times New Roman"/>
          <w:b/>
          <w:sz w:val="28"/>
          <w:szCs w:val="28"/>
        </w:rPr>
        <w:t>для обеспечения инвалидов в 2019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29D5" w:rsidRPr="00CB37B7" w:rsidRDefault="00CB29D5" w:rsidP="00E07408">
      <w:pPr>
        <w:jc w:val="center"/>
        <w:rPr>
          <w:rFonts w:ascii="Times New Roman" w:hAnsi="Times New Roman"/>
          <w:sz w:val="24"/>
        </w:rPr>
      </w:pPr>
      <w:r w:rsidRPr="00CB37B7">
        <w:rPr>
          <w:rFonts w:ascii="Times New Roman" w:hAnsi="Times New Roman"/>
          <w:b/>
          <w:bCs/>
          <w:sz w:val="24"/>
        </w:rPr>
        <w:t xml:space="preserve">Общие технические характеристики </w:t>
      </w:r>
      <w:r w:rsidRPr="00CB37B7">
        <w:rPr>
          <w:rFonts w:ascii="Times New Roman" w:hAnsi="Times New Roman"/>
          <w:b/>
          <w:sz w:val="24"/>
        </w:rPr>
        <w:t>выполняемых работ:</w:t>
      </w:r>
      <w:r w:rsidRPr="00CB37B7">
        <w:rPr>
          <w:rFonts w:ascii="Times New Roman" w:hAnsi="Times New Roman"/>
          <w:sz w:val="24"/>
        </w:rPr>
        <w:t xml:space="preserve"> 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Протезы </w:t>
      </w:r>
      <w:r w:rsidR="00DC1014">
        <w:rPr>
          <w:rFonts w:ascii="Times New Roman" w:hAnsi="Times New Roman"/>
          <w:sz w:val="24"/>
        </w:rPr>
        <w:t xml:space="preserve">нижних </w:t>
      </w:r>
      <w:r>
        <w:rPr>
          <w:rFonts w:ascii="Times New Roman" w:hAnsi="Times New Roman"/>
          <w:sz w:val="24"/>
        </w:rPr>
        <w:t>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Работы по обеспечению инвалида (далее – Получатель) Изделием предусматривают индивидуальное изготовление, обучение пользованию и выдачу технического средства реабилитации (изделия).</w:t>
      </w:r>
    </w:p>
    <w:p w:rsidR="007D411E" w:rsidRDefault="007D411E" w:rsidP="00CB29D5">
      <w:pPr>
        <w:spacing w:after="0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 и технические характеристики выполняемых  работ</w:t>
      </w:r>
      <w:r w:rsidRPr="001918C8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6455"/>
        <w:gridCol w:w="1297"/>
      </w:tblGrid>
      <w:tr w:rsidR="007D411E" w:rsidRPr="008109BA" w:rsidTr="00503CD0">
        <w:trPr>
          <w:jc w:val="center"/>
        </w:trPr>
        <w:tc>
          <w:tcPr>
            <w:tcW w:w="1819" w:type="dxa"/>
            <w:shd w:val="clear" w:color="auto" w:fill="auto"/>
          </w:tcPr>
          <w:p w:rsidR="007D411E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Наименование </w:t>
            </w:r>
          </w:p>
          <w:p w:rsidR="007D411E" w:rsidRPr="008109BA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изделия </w:t>
            </w:r>
          </w:p>
        </w:tc>
        <w:tc>
          <w:tcPr>
            <w:tcW w:w="6455" w:type="dxa"/>
            <w:shd w:val="clear" w:color="auto" w:fill="auto"/>
          </w:tcPr>
          <w:p w:rsidR="007D411E" w:rsidRPr="00D24038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Описание технических и функциональных характеристик  изделий</w:t>
            </w:r>
          </w:p>
        </w:tc>
        <w:tc>
          <w:tcPr>
            <w:tcW w:w="1297" w:type="dxa"/>
          </w:tcPr>
          <w:p w:rsidR="007D411E" w:rsidRDefault="007D411E" w:rsidP="00270E5D">
            <w:pPr>
              <w:ind w:left="-120" w:right="-120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Количество изделий </w:t>
            </w:r>
          </w:p>
          <w:p w:rsidR="007D411E" w:rsidRPr="00D24038" w:rsidRDefault="007D411E" w:rsidP="00270E5D">
            <w:pPr>
              <w:ind w:left="-120" w:right="-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(шт.)</w:t>
            </w:r>
          </w:p>
        </w:tc>
      </w:tr>
      <w:tr w:rsidR="00CA0AFF" w:rsidRPr="008109BA" w:rsidTr="005B26F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5B26F7" w:rsidRDefault="005B26F7" w:rsidP="005B26F7">
            <w:pPr>
              <w:spacing w:after="0"/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Протез голени модульного типа </w:t>
            </w:r>
          </w:p>
          <w:p w:rsidR="005B26F7" w:rsidRDefault="005B26F7" w:rsidP="005B26F7">
            <w:pPr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2-3 уровень активности  </w:t>
            </w:r>
          </w:p>
          <w:p w:rsidR="00CA0AFF" w:rsidRPr="000A2FD4" w:rsidRDefault="00CA0AFF" w:rsidP="005B26F7">
            <w:pPr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55" w:type="dxa"/>
            <w:shd w:val="clear" w:color="auto" w:fill="auto"/>
          </w:tcPr>
          <w:p w:rsidR="00CA0AFF" w:rsidRPr="000A2FD4" w:rsidRDefault="00CA0AFF" w:rsidP="00AF3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голени модульный без силиконового чехла.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перлоновые</w:t>
            </w:r>
            <w:proofErr w:type="spellEnd"/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силоновые</w:t>
            </w:r>
            <w:proofErr w:type="spellEnd"/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допускается покрытие защитное плёночное. Приёмная гильза индивидуальная, материал индивидуальной постоянной гильзы: литьевой слоистый пластик на основе акриловых смол.  Допускается применение вкладной гильзы из вспененных материалов или без неё. Крепление протеза с использованием кожаных полуфабрикатов (без шин) или с использованием тканевого наколенника или за счёт формы приёмной гильзы.  Регулировочно-соединительные устройства соответствует весу инвалида. Стопа благодаря особым характеристикам пружины из пластика в комбинации с функциональной косметической оболочкой и встроенным промежуточным трикотажным слоем объемной структуры обладает высокой передачей энергии и обеспечивает возможность динамического перехода из фазы опоры в фазу переноса.</w:t>
            </w:r>
          </w:p>
        </w:tc>
        <w:tc>
          <w:tcPr>
            <w:tcW w:w="1297" w:type="dxa"/>
          </w:tcPr>
          <w:p w:rsidR="00CA0AFF" w:rsidRDefault="0052192D" w:rsidP="00C34B8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CA0AFF" w:rsidRPr="008109BA" w:rsidTr="0052192D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5B26F7" w:rsidRDefault="005B26F7" w:rsidP="005B26F7">
            <w:pPr>
              <w:spacing w:after="0"/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Протез голени модульного типа </w:t>
            </w:r>
          </w:p>
          <w:p w:rsidR="005B26F7" w:rsidRDefault="005B26F7" w:rsidP="005B26F7">
            <w:pPr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2-3 уровень активности  </w:t>
            </w:r>
          </w:p>
          <w:p w:rsidR="00CA0AFF" w:rsidRPr="000A2FD4" w:rsidRDefault="00CA0AFF" w:rsidP="00AF3977">
            <w:pPr>
              <w:spacing w:after="0"/>
              <w:ind w:left="-108"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shd w:val="clear" w:color="auto" w:fill="auto"/>
          </w:tcPr>
          <w:p w:rsidR="00CA0AFF" w:rsidRPr="000A2FD4" w:rsidRDefault="00CA0AFF" w:rsidP="00AF3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модульного типа 2-3 уровня активности с силиконовым чехлом. Пробная приемная гильза из </w:t>
            </w:r>
            <w:proofErr w:type="spellStart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>термолина</w:t>
            </w:r>
            <w:proofErr w:type="spellEnd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. Постоянная приемная  гильза по слепку из литьевого слоистого пластика на основе акриловых смол. Чехлы полимерные </w:t>
            </w:r>
            <w:proofErr w:type="spellStart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уровнем стабилизации. Крепление протеза с использованием замка для полимерных чехлов и полимерных гелиевых наколенников. Регулировочно-соединительные устройства  соответствуют весу инвалида на нагрузку до 125</w:t>
            </w:r>
            <w:r w:rsidR="007B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>кг. Стопа со средней степенью энергосбережения.</w:t>
            </w:r>
            <w:r w:rsidR="005B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мягкая модульная полиуретановая (поролон), покрытие облицовки - чулки </w:t>
            </w:r>
            <w:proofErr w:type="spellStart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</w:t>
            </w:r>
            <w:r w:rsidR="005B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Тип протеза  - </w:t>
            </w:r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постоянный.</w:t>
            </w:r>
          </w:p>
        </w:tc>
        <w:tc>
          <w:tcPr>
            <w:tcW w:w="1297" w:type="dxa"/>
          </w:tcPr>
          <w:p w:rsidR="00CA0AFF" w:rsidRPr="000A2FD4" w:rsidRDefault="00653141" w:rsidP="00AF39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CA0AFF" w:rsidRPr="008109BA" w:rsidTr="00CA0AFF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CA0AFF" w:rsidRDefault="00CA0AFF" w:rsidP="00993A6A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</w:t>
            </w:r>
            <w:r w:rsidR="00993A6A">
              <w:rPr>
                <w:rFonts w:ascii="Times New Roman" w:eastAsia="Calibri" w:hAnsi="Times New Roman" w:cs="Times New Roman"/>
                <w:sz w:val="24"/>
                <w:szCs w:val="24"/>
              </w:rPr>
              <w:t>ого типа 2-3 уровень активности</w:t>
            </w:r>
            <w:r w:rsidRPr="000A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86D73" w:rsidRDefault="00E86D73" w:rsidP="00993A6A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D73" w:rsidRPr="000A2FD4" w:rsidRDefault="00E86D73" w:rsidP="00993A6A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shd w:val="clear" w:color="auto" w:fill="auto"/>
          </w:tcPr>
          <w:p w:rsidR="00CA0AFF" w:rsidRPr="000A2FD4" w:rsidRDefault="00C721BC" w:rsidP="00AF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BC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2 - 3 уровня активности без силиконового чехла.  Пробная приемная гильза из </w:t>
            </w:r>
            <w:proofErr w:type="spellStart"/>
            <w:r w:rsidRPr="00C721BC">
              <w:rPr>
                <w:rFonts w:ascii="Times New Roman" w:hAnsi="Times New Roman" w:cs="Times New Roman"/>
                <w:sz w:val="24"/>
                <w:szCs w:val="24"/>
              </w:rPr>
              <w:t>термолина</w:t>
            </w:r>
            <w:proofErr w:type="spellEnd"/>
            <w:r w:rsidRPr="00C721BC">
              <w:rPr>
                <w:rFonts w:ascii="Times New Roman" w:hAnsi="Times New Roman" w:cs="Times New Roman"/>
                <w:sz w:val="24"/>
                <w:szCs w:val="24"/>
              </w:rPr>
              <w:t xml:space="preserve">. Постоянная приемная  гильза по слепку из литьевого слоистого пластика на основе акриловых смол. Смягчающий вкладыш из вспененных материалов. Коленный шарнир модульный, полицентрический с пневматическим управлением фазой переноса.  Регулировочно-соединительные устройства соответствуют весу инвалида. Стопа со средней степенью энергосбережения. Облицовка мягкая модульная полиуретановая (поролон). Косметическое покрытие облицовки - чулки ортопедические </w:t>
            </w:r>
            <w:proofErr w:type="spellStart"/>
            <w:r w:rsidRPr="00C721BC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C721BC">
              <w:rPr>
                <w:rFonts w:ascii="Times New Roman" w:hAnsi="Times New Roman" w:cs="Times New Roman"/>
                <w:sz w:val="24"/>
                <w:szCs w:val="24"/>
              </w:rPr>
              <w:t>. Крепление протеза поясное или с использованием бандажа. Протез предназначен для перемещения инвалида со средней скоростью, для преодоления препятствий, ступеней и неровных поверхностей. Восстановление способности передвижения не только в помещении, так и на открытом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1BC">
              <w:rPr>
                <w:rFonts w:ascii="Times New Roman" w:hAnsi="Times New Roman" w:cs="Times New Roman"/>
                <w:sz w:val="24"/>
                <w:szCs w:val="24"/>
              </w:rPr>
              <w:t>Тип протеза  - постоянный.</w:t>
            </w:r>
          </w:p>
        </w:tc>
        <w:tc>
          <w:tcPr>
            <w:tcW w:w="1297" w:type="dxa"/>
          </w:tcPr>
          <w:p w:rsidR="00CA0AFF" w:rsidRPr="000A2FD4" w:rsidRDefault="00653141" w:rsidP="00AF39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CA0AFF" w:rsidRPr="008109BA" w:rsidTr="002E28E1">
        <w:trPr>
          <w:trHeight w:val="470"/>
          <w:jc w:val="center"/>
        </w:trPr>
        <w:tc>
          <w:tcPr>
            <w:tcW w:w="8274" w:type="dxa"/>
            <w:gridSpan w:val="2"/>
            <w:shd w:val="clear" w:color="auto" w:fill="auto"/>
          </w:tcPr>
          <w:p w:rsidR="00CA0AFF" w:rsidRPr="000A2FD4" w:rsidRDefault="00CA0AFF" w:rsidP="00270E5D">
            <w:pPr>
              <w:ind w:right="-13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0AFF" w:rsidRPr="000A2FD4" w:rsidRDefault="00CA0AFF" w:rsidP="00270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7" w:type="dxa"/>
          </w:tcPr>
          <w:p w:rsidR="00CA0AFF" w:rsidRPr="000A2FD4" w:rsidRDefault="00CA0AFF" w:rsidP="00270E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0AFF" w:rsidRPr="000A2FD4" w:rsidRDefault="00653141" w:rsidP="00CC48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</w:tbl>
    <w:p w:rsidR="007D411E" w:rsidRPr="00017AC7" w:rsidRDefault="007D411E" w:rsidP="003E6E2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</w:rPr>
      </w:pPr>
      <w:r w:rsidRPr="00017AC7">
        <w:rPr>
          <w:rFonts w:ascii="Times New Roman" w:hAnsi="Times New Roman"/>
          <w:sz w:val="24"/>
        </w:rPr>
        <w:t>В комплект протезов нижних конечностей входит 8 чехлов, вкладные чехлы по необходимости (кожаные и вспененные).</w:t>
      </w:r>
    </w:p>
    <w:p w:rsidR="003E6E26" w:rsidRDefault="003E6E26" w:rsidP="003E6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rPr>
          <w:rFonts w:eastAsia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качеству работ: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Изделия должны отвечать требованиям: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Национального стандарта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Национального стандарта Российской Федерации ГОСТ Р 52770-2007 «Изделия медицинские. Требования безопасности. Методы санитарно-химических и токсикологических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>
        <w:rPr>
          <w:rFonts w:ascii="Times New Roman" w:hAnsi="Times New Roman"/>
          <w:sz w:val="24"/>
        </w:rPr>
        <w:t>ортезы</w:t>
      </w:r>
      <w:proofErr w:type="spellEnd"/>
      <w:r>
        <w:rPr>
          <w:rFonts w:ascii="Times New Roman" w:hAnsi="Times New Roman"/>
          <w:sz w:val="24"/>
        </w:rPr>
        <w:t xml:space="preserve"> наружные. Требования и методы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>
        <w:rPr>
          <w:rFonts w:ascii="Times New Roman" w:hAnsi="Times New Roman"/>
          <w:sz w:val="24"/>
        </w:rPr>
        <w:t>цитотоксичность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Республиканскому стандарту РСФСР РСТ РСФСР 644-80 «Изделия протезно-ортопедические. Общие технические требования».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Изделие должно изготавливаться с учетом анатомических дефектов конечностей,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Узлы протеза должны быть стойкими к воздействию физиологических растворов (пота, мочи).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техническим и функциональным характеристикам работ: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С учетом уровня ампутации и модулирования, применяемого в протезировании: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</w:t>
      </w:r>
      <w:r w:rsidR="007D51AA">
        <w:rPr>
          <w:rFonts w:ascii="Times New Roman" w:eastAsia="Arial" w:hAnsi="Times New Roman"/>
          <w:kern w:val="2"/>
          <w:sz w:val="24"/>
          <w:lang w:eastAsia="ar-SA"/>
        </w:rPr>
        <w:t xml:space="preserve"> </w:t>
      </w:r>
      <w:r>
        <w:rPr>
          <w:rFonts w:ascii="Times New Roman" w:eastAsia="Arial" w:hAnsi="Times New Roman"/>
          <w:kern w:val="2"/>
          <w:sz w:val="24"/>
          <w:lang w:eastAsia="ar-SA"/>
        </w:rPr>
        <w:t>постоянный протез нижней конечности предназначается после завершения использования лечебно-тренировочного протеза;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безопасности работ: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Выполняемые работы по изготовлению протеза должны соответствовать установленным ГОСТам, ТУ и иным документам, принятым для данных видов работ и изделий.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готовности приступить к выполнению работ по изготовлению протеза,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2B742C" w:rsidRDefault="002B742C" w:rsidP="002B742C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результатам работ: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должны быть выполнены с надлежащим качеством и в установленные сроки.</w:t>
      </w:r>
    </w:p>
    <w:p w:rsidR="002B742C" w:rsidRDefault="002B742C" w:rsidP="002B742C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</w:p>
    <w:p w:rsidR="002B742C" w:rsidRDefault="002B742C" w:rsidP="002B742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Требования к гарантийному сроку и (или) объему предоставления гарантий качества работ:</w:t>
      </w:r>
    </w:p>
    <w:p w:rsidR="009C3545" w:rsidRDefault="009C3545" w:rsidP="009C35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t>Гарантийный срок устанавливается со дня выдачи готового Изделия и его продолжительность должна соответствовать требованиям Республиканского стандарта РСТ РСФСР 644-80 «Изделия протезно-ортопедические. Общие технические требования».</w:t>
      </w:r>
    </w:p>
    <w:p w:rsidR="009C3545" w:rsidRPr="00253283" w:rsidRDefault="009C3545" w:rsidP="009C35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Минимальный гарантийный срок на протезы верхних конечностей устанавливается со дня выдачи готового изделия и его продолжительность должна соответствовать требованиям Республиканского стандарта РСФСР РСТ РСФСР 644-80 «Изделия протезно-ортопедические. Общие технические требования» и должен составлять:</w:t>
      </w:r>
    </w:p>
    <w:p w:rsidR="0083035F" w:rsidRDefault="009C3545" w:rsidP="00830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t xml:space="preserve">- </w:t>
      </w:r>
      <w:r w:rsidR="0083035F">
        <w:rPr>
          <w:rFonts w:ascii="Times New Roman" w:eastAsia="StarSymbol" w:hAnsi="Times New Roman"/>
          <w:spacing w:val="-2"/>
          <w:sz w:val="24"/>
        </w:rPr>
        <w:t xml:space="preserve">на протезы бедра, голени с мягким приемником не менее 7 месяцев, на протезы бедра и голени металлические не менее 9 месяцев, на протезы бедра, голени и после вычленения бедра с облицовкой из </w:t>
      </w:r>
      <w:proofErr w:type="spellStart"/>
      <w:r w:rsidR="0083035F">
        <w:rPr>
          <w:rFonts w:ascii="Times New Roman" w:eastAsia="StarSymbol" w:hAnsi="Times New Roman"/>
          <w:spacing w:val="-2"/>
          <w:sz w:val="24"/>
        </w:rPr>
        <w:t>пенополиуретана</w:t>
      </w:r>
      <w:proofErr w:type="spellEnd"/>
      <w:r w:rsidR="0083035F">
        <w:rPr>
          <w:rFonts w:ascii="Times New Roman" w:eastAsia="StarSymbol" w:hAnsi="Times New Roman"/>
          <w:spacing w:val="-2"/>
          <w:sz w:val="24"/>
        </w:rPr>
        <w:t xml:space="preserve"> не менее 7 месяцев. </w:t>
      </w:r>
    </w:p>
    <w:p w:rsidR="009C3545" w:rsidRPr="00253283" w:rsidRDefault="009C3545" w:rsidP="00830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В течение этого срока предприятие-изготовитель обязано производить замену или ремонт. Проезд к месту проведения гарантийного ремонта или замены производить за счет средств предприятия-изготовителя.</w:t>
      </w:r>
    </w:p>
    <w:p w:rsidR="009C3545" w:rsidRDefault="009C3545" w:rsidP="009C35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Срок дополнительной гарантии качества товара, работ, услуг не должен превышать срока службы товара.</w:t>
      </w:r>
    </w:p>
    <w:p w:rsidR="0028036B" w:rsidRDefault="002B742C" w:rsidP="002803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StarSymbol" w:hAnsi="Times New Roman"/>
          <w:spacing w:val="-2"/>
          <w:sz w:val="24"/>
        </w:rPr>
        <w:t xml:space="preserve">Срок пользования Изделием устанавливается в соответствии с </w:t>
      </w:r>
      <w:r w:rsidR="0028036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>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46BE5" w:rsidRPr="00236A77" w:rsidRDefault="00346BE5" w:rsidP="00346BE5">
      <w:pPr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346BE5" w:rsidRPr="001C52E3" w:rsidRDefault="00346BE5" w:rsidP="00346BE5">
      <w:pPr>
        <w:tabs>
          <w:tab w:val="left" w:pos="-1701"/>
        </w:tabs>
        <w:spacing w:after="0" w:line="235" w:lineRule="auto"/>
        <w:ind w:firstLine="540"/>
        <w:jc w:val="both"/>
        <w:rPr>
          <w:rStyle w:val="T2"/>
        </w:rPr>
      </w:pPr>
      <w:r w:rsidRPr="001C52E3">
        <w:rPr>
          <w:rFonts w:ascii="Times New Roman" w:hAnsi="Times New Roman"/>
          <w:b/>
          <w:sz w:val="24"/>
        </w:rPr>
        <w:t>Место выполнения работ:</w:t>
      </w:r>
      <w:r w:rsidRPr="001C52E3">
        <w:rPr>
          <w:rFonts w:ascii="Times New Roman" w:hAnsi="Times New Roman"/>
          <w:sz w:val="24"/>
        </w:rPr>
        <w:t xml:space="preserve"> </w:t>
      </w:r>
      <w:r w:rsidRPr="00F069D9">
        <w:rPr>
          <w:rStyle w:val="T2"/>
          <w:bCs/>
        </w:rPr>
        <w:t>Российская Федерация, Д</w:t>
      </w:r>
      <w:r>
        <w:rPr>
          <w:rStyle w:val="T2"/>
          <w:bCs/>
        </w:rPr>
        <w:t>альневосточный федеральный округ</w:t>
      </w:r>
      <w:r w:rsidRPr="00F069D9">
        <w:rPr>
          <w:rStyle w:val="T2"/>
          <w:bCs/>
        </w:rPr>
        <w:t xml:space="preserve">, по месту нахождения </w:t>
      </w:r>
      <w:r>
        <w:rPr>
          <w:rStyle w:val="T2"/>
          <w:bCs/>
        </w:rPr>
        <w:t>и</w:t>
      </w:r>
      <w:r w:rsidRPr="00F069D9">
        <w:rPr>
          <w:rStyle w:val="T2"/>
          <w:bCs/>
        </w:rPr>
        <w:t>сполнителя</w:t>
      </w:r>
      <w:r w:rsidRPr="00F069D9">
        <w:rPr>
          <w:rStyle w:val="T2"/>
        </w:rPr>
        <w:t>.</w:t>
      </w:r>
    </w:p>
    <w:p w:rsidR="00346BE5" w:rsidRDefault="00346BE5" w:rsidP="00346BE5">
      <w:pPr>
        <w:spacing w:after="0"/>
        <w:ind w:firstLine="540"/>
      </w:pPr>
    </w:p>
    <w:p w:rsidR="00346BE5" w:rsidRDefault="00346BE5" w:rsidP="00346BE5">
      <w:pPr>
        <w:autoSpaceDE w:val="0"/>
        <w:spacing w:after="0" w:line="228" w:lineRule="auto"/>
        <w:ind w:firstLine="540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 xml:space="preserve">Срок </w:t>
      </w:r>
      <w:r>
        <w:rPr>
          <w:rFonts w:ascii="Times New Roman" w:hAnsi="Times New Roman"/>
          <w:b/>
          <w:sz w:val="24"/>
        </w:rPr>
        <w:t>выполнения работ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момента заключения государственного контракта </w:t>
      </w:r>
      <w:r w:rsidR="005D0AFE">
        <w:rPr>
          <w:rFonts w:ascii="Times New Roman" w:hAnsi="Times New Roman"/>
          <w:sz w:val="24"/>
        </w:rPr>
        <w:t>п</w:t>
      </w:r>
      <w:r w:rsidRPr="0079669D">
        <w:rPr>
          <w:rFonts w:ascii="Times New Roman" w:hAnsi="Times New Roman"/>
          <w:sz w:val="24"/>
        </w:rPr>
        <w:t xml:space="preserve">о </w:t>
      </w:r>
      <w:r w:rsidR="007B3A3D">
        <w:rPr>
          <w:rFonts w:ascii="Times New Roman" w:hAnsi="Times New Roman"/>
          <w:sz w:val="24"/>
        </w:rPr>
        <w:t>10</w:t>
      </w:r>
      <w:r w:rsidRPr="0079669D">
        <w:rPr>
          <w:rFonts w:ascii="Times New Roman" w:hAnsi="Times New Roman"/>
          <w:sz w:val="24"/>
        </w:rPr>
        <w:t>.1</w:t>
      </w:r>
      <w:r w:rsidR="007B3A3D">
        <w:rPr>
          <w:rFonts w:ascii="Times New Roman" w:hAnsi="Times New Roman"/>
          <w:sz w:val="24"/>
        </w:rPr>
        <w:t>2</w:t>
      </w:r>
      <w:r w:rsidRPr="0079669D">
        <w:rPr>
          <w:rFonts w:ascii="Times New Roman" w:hAnsi="Times New Roman"/>
          <w:sz w:val="24"/>
        </w:rPr>
        <w:t>.201</w:t>
      </w:r>
      <w:r w:rsidR="0028036B">
        <w:rPr>
          <w:rFonts w:ascii="Times New Roman" w:hAnsi="Times New Roman"/>
          <w:sz w:val="24"/>
        </w:rPr>
        <w:t>9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выполнения работ Исполнителем с момента обращения Получателя с направлением: не более </w:t>
      </w:r>
      <w:r w:rsidR="007D51AA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дней.</w:t>
      </w:r>
    </w:p>
    <w:p w:rsidR="007825BD" w:rsidRDefault="007825BD" w:rsidP="007825BD">
      <w:pPr>
        <w:pStyle w:val="a7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/>
        </w:rPr>
      </w:pPr>
    </w:p>
    <w:p w:rsidR="007D411E" w:rsidRPr="008F243F" w:rsidRDefault="007D411E" w:rsidP="007825BD">
      <w:pPr>
        <w:pStyle w:val="a7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7D411E" w:rsidRPr="008F243F" w:rsidSect="007825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D4F2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D0"/>
    <w:rsid w:val="0002712C"/>
    <w:rsid w:val="000959C0"/>
    <w:rsid w:val="000A2FD4"/>
    <w:rsid w:val="000D341A"/>
    <w:rsid w:val="0010133A"/>
    <w:rsid w:val="00117503"/>
    <w:rsid w:val="00117BD9"/>
    <w:rsid w:val="00136D36"/>
    <w:rsid w:val="002332B6"/>
    <w:rsid w:val="00257B4B"/>
    <w:rsid w:val="00270E5D"/>
    <w:rsid w:val="002738CE"/>
    <w:rsid w:val="0028036B"/>
    <w:rsid w:val="002B742C"/>
    <w:rsid w:val="002E28E1"/>
    <w:rsid w:val="003201AA"/>
    <w:rsid w:val="00337BAF"/>
    <w:rsid w:val="00344A99"/>
    <w:rsid w:val="00346BE5"/>
    <w:rsid w:val="003651E8"/>
    <w:rsid w:val="00366929"/>
    <w:rsid w:val="003E6E26"/>
    <w:rsid w:val="003F6F0A"/>
    <w:rsid w:val="00410DDF"/>
    <w:rsid w:val="00440F40"/>
    <w:rsid w:val="00475F92"/>
    <w:rsid w:val="004C0949"/>
    <w:rsid w:val="004C534F"/>
    <w:rsid w:val="004C64B2"/>
    <w:rsid w:val="00503CD0"/>
    <w:rsid w:val="0052192D"/>
    <w:rsid w:val="0052762B"/>
    <w:rsid w:val="005755FA"/>
    <w:rsid w:val="00576110"/>
    <w:rsid w:val="00585EA8"/>
    <w:rsid w:val="0059768A"/>
    <w:rsid w:val="005A039A"/>
    <w:rsid w:val="005B2229"/>
    <w:rsid w:val="005B26F7"/>
    <w:rsid w:val="005C158A"/>
    <w:rsid w:val="005C59E7"/>
    <w:rsid w:val="005D0AFE"/>
    <w:rsid w:val="005F6AD0"/>
    <w:rsid w:val="00600989"/>
    <w:rsid w:val="00623BE1"/>
    <w:rsid w:val="00642473"/>
    <w:rsid w:val="00650A22"/>
    <w:rsid w:val="00652D58"/>
    <w:rsid w:val="00653141"/>
    <w:rsid w:val="0066322C"/>
    <w:rsid w:val="00665845"/>
    <w:rsid w:val="00667574"/>
    <w:rsid w:val="006744A4"/>
    <w:rsid w:val="0067501B"/>
    <w:rsid w:val="00683125"/>
    <w:rsid w:val="006B632C"/>
    <w:rsid w:val="006D258F"/>
    <w:rsid w:val="00711C87"/>
    <w:rsid w:val="0075478C"/>
    <w:rsid w:val="0077435E"/>
    <w:rsid w:val="007825BD"/>
    <w:rsid w:val="00792D96"/>
    <w:rsid w:val="007A62D8"/>
    <w:rsid w:val="007B3A3D"/>
    <w:rsid w:val="007B7988"/>
    <w:rsid w:val="007D020F"/>
    <w:rsid w:val="007D411E"/>
    <w:rsid w:val="007D51AA"/>
    <w:rsid w:val="007E3AE3"/>
    <w:rsid w:val="007F5AF8"/>
    <w:rsid w:val="00813682"/>
    <w:rsid w:val="0083035F"/>
    <w:rsid w:val="008339B2"/>
    <w:rsid w:val="008410F0"/>
    <w:rsid w:val="0085536D"/>
    <w:rsid w:val="008558B1"/>
    <w:rsid w:val="0086548C"/>
    <w:rsid w:val="0087094E"/>
    <w:rsid w:val="00872ADA"/>
    <w:rsid w:val="008A6341"/>
    <w:rsid w:val="008B6486"/>
    <w:rsid w:val="008F243F"/>
    <w:rsid w:val="00905230"/>
    <w:rsid w:val="00917818"/>
    <w:rsid w:val="00917A1E"/>
    <w:rsid w:val="00940DBC"/>
    <w:rsid w:val="00965963"/>
    <w:rsid w:val="00982780"/>
    <w:rsid w:val="00993A6A"/>
    <w:rsid w:val="009A3833"/>
    <w:rsid w:val="009B0259"/>
    <w:rsid w:val="009B0AE1"/>
    <w:rsid w:val="009C3545"/>
    <w:rsid w:val="009D74E6"/>
    <w:rsid w:val="00A15938"/>
    <w:rsid w:val="00A40006"/>
    <w:rsid w:val="00A70C5F"/>
    <w:rsid w:val="00AC6698"/>
    <w:rsid w:val="00AF016D"/>
    <w:rsid w:val="00B125C4"/>
    <w:rsid w:val="00B15B7B"/>
    <w:rsid w:val="00B2363C"/>
    <w:rsid w:val="00B352FF"/>
    <w:rsid w:val="00B610D3"/>
    <w:rsid w:val="00B66C10"/>
    <w:rsid w:val="00B81331"/>
    <w:rsid w:val="00C03EB3"/>
    <w:rsid w:val="00C1659A"/>
    <w:rsid w:val="00C30F4B"/>
    <w:rsid w:val="00C3344C"/>
    <w:rsid w:val="00C34B8D"/>
    <w:rsid w:val="00C721BC"/>
    <w:rsid w:val="00C817D4"/>
    <w:rsid w:val="00CA0AFF"/>
    <w:rsid w:val="00CB29D5"/>
    <w:rsid w:val="00CC48AF"/>
    <w:rsid w:val="00CD753C"/>
    <w:rsid w:val="00D611C6"/>
    <w:rsid w:val="00D8655E"/>
    <w:rsid w:val="00D93197"/>
    <w:rsid w:val="00DA6EE6"/>
    <w:rsid w:val="00DC1014"/>
    <w:rsid w:val="00E07408"/>
    <w:rsid w:val="00E07D92"/>
    <w:rsid w:val="00E113D9"/>
    <w:rsid w:val="00E1365E"/>
    <w:rsid w:val="00E20508"/>
    <w:rsid w:val="00E2330A"/>
    <w:rsid w:val="00E54D21"/>
    <w:rsid w:val="00E86D73"/>
    <w:rsid w:val="00EA3765"/>
    <w:rsid w:val="00EA3B11"/>
    <w:rsid w:val="00ED27E1"/>
    <w:rsid w:val="00ED76FB"/>
    <w:rsid w:val="00F0024B"/>
    <w:rsid w:val="00F16BC7"/>
    <w:rsid w:val="00F615E4"/>
    <w:rsid w:val="00F646A8"/>
    <w:rsid w:val="00F652B1"/>
    <w:rsid w:val="00F7485C"/>
    <w:rsid w:val="00F96774"/>
    <w:rsid w:val="00FB7777"/>
    <w:rsid w:val="00FD72C0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C598F-134B-483A-8F3B-B869F7EF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D4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1E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271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CB29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 Знак Знак Знак Знак1"/>
    <w:basedOn w:val="a"/>
    <w:rsid w:val="00346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46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ko-KR"/>
    </w:rPr>
  </w:style>
  <w:style w:type="character" w:customStyle="1" w:styleId="T2">
    <w:name w:val="T2"/>
    <w:rsid w:val="00346BE5"/>
    <w:rPr>
      <w:rFonts w:ascii="Times New Roman" w:hAnsi="Times New Roman"/>
      <w:sz w:val="24"/>
    </w:rPr>
  </w:style>
  <w:style w:type="character" w:customStyle="1" w:styleId="T8">
    <w:name w:val="T8"/>
    <w:rsid w:val="00346BE5"/>
    <w:rPr>
      <w:rFonts w:ascii="Times New Roman" w:hAnsi="Times New Roman"/>
      <w:b/>
      <w:sz w:val="24"/>
    </w:rPr>
  </w:style>
  <w:style w:type="paragraph" w:styleId="a7">
    <w:name w:val="Normal (Web)"/>
    <w:basedOn w:val="a"/>
    <w:rsid w:val="00346BE5"/>
    <w:pPr>
      <w:widowControl w:val="0"/>
      <w:suppressAutoHyphens/>
      <w:spacing w:before="280" w:after="119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56</cp:revision>
  <cp:lastPrinted>2019-08-28T01:06:00Z</cp:lastPrinted>
  <dcterms:created xsi:type="dcterms:W3CDTF">2015-10-29T06:52:00Z</dcterms:created>
  <dcterms:modified xsi:type="dcterms:W3CDTF">2019-08-29T11:48:00Z</dcterms:modified>
</cp:coreProperties>
</file>