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Look w:val="04A0" w:firstRow="1" w:lastRow="0" w:firstColumn="1" w:lastColumn="0" w:noHBand="0" w:noVBand="1"/>
      </w:tblPr>
      <w:tblGrid>
        <w:gridCol w:w="9498"/>
      </w:tblGrid>
      <w:tr w:rsidR="002A3ACB" w:rsidRPr="00DC1AE8" w:rsidTr="0030595D">
        <w:trPr>
          <w:trHeight w:val="945"/>
        </w:trPr>
        <w:tc>
          <w:tcPr>
            <w:tcW w:w="9498" w:type="dxa"/>
            <w:tcBorders>
              <w:top w:val="nil"/>
              <w:left w:val="nil"/>
              <w:bottom w:val="nil"/>
              <w:right w:val="nil"/>
            </w:tcBorders>
            <w:shd w:val="clear" w:color="auto" w:fill="auto"/>
            <w:vAlign w:val="center"/>
          </w:tcPr>
          <w:p w:rsidR="002A3ACB" w:rsidRPr="001C50AE" w:rsidRDefault="002A3ACB" w:rsidP="0030595D">
            <w:pPr>
              <w:rPr>
                <w:rFonts w:eastAsia="Times New Roman"/>
                <w:b/>
                <w:bCs/>
                <w:sz w:val="23"/>
                <w:szCs w:val="23"/>
              </w:rPr>
            </w:pPr>
          </w:p>
          <w:p w:rsidR="002A3ACB" w:rsidRPr="00DC1AE8" w:rsidRDefault="005F099C" w:rsidP="0030595D">
            <w:pPr>
              <w:jc w:val="center"/>
              <w:rPr>
                <w:rFonts w:eastAsia="Times New Roman"/>
                <w:b/>
                <w:bCs/>
                <w:sz w:val="22"/>
                <w:szCs w:val="22"/>
              </w:rPr>
            </w:pPr>
            <w:r w:rsidRPr="005F099C">
              <w:rPr>
                <w:b/>
              </w:rPr>
              <w:t>Описание объекта закупки (техническое задание)</w:t>
            </w:r>
          </w:p>
        </w:tc>
      </w:tr>
    </w:tbl>
    <w:p w:rsidR="002A3ACB" w:rsidRDefault="002A3ACB" w:rsidP="002A3ACB">
      <w:pPr>
        <w:autoSpaceDE w:val="0"/>
        <w:autoSpaceDN w:val="0"/>
        <w:adjustRightInd w:val="0"/>
        <w:ind w:left="-426"/>
        <w:jc w:val="both"/>
        <w:rPr>
          <w:rFonts w:eastAsia="Times New Roman"/>
        </w:rPr>
      </w:pPr>
      <w:r w:rsidRPr="00EA46DE">
        <w:rPr>
          <w:rFonts w:eastAsia="Times New Roman"/>
        </w:rPr>
        <w:t xml:space="preserve">Поставщик должен </w:t>
      </w:r>
      <w:r w:rsidRPr="00F5667E">
        <w:rPr>
          <w:rFonts w:eastAsia="Times New Roman"/>
        </w:rPr>
        <w:t xml:space="preserve">поставлять </w:t>
      </w:r>
      <w:r w:rsidRPr="00F5667E">
        <w:rPr>
          <w:bCs/>
        </w:rPr>
        <w:t>в 2019 году</w:t>
      </w:r>
      <w:r w:rsidRPr="00F5667E">
        <w:rPr>
          <w:lang w:eastAsia="en-US"/>
        </w:rPr>
        <w:t xml:space="preserve"> </w:t>
      </w:r>
      <w:r w:rsidRPr="004A2BDA">
        <w:rPr>
          <w:color w:val="000000"/>
        </w:rPr>
        <w:t xml:space="preserve">слуховые аппараты </w:t>
      </w:r>
      <w:r w:rsidRPr="00EA46DE">
        <w:rPr>
          <w:lang w:eastAsia="en-US"/>
        </w:rPr>
        <w:t>(далее</w:t>
      </w:r>
      <w:r>
        <w:rPr>
          <w:lang w:eastAsia="en-US"/>
        </w:rPr>
        <w:t xml:space="preserve"> </w:t>
      </w:r>
      <w:r w:rsidRPr="00EA46DE">
        <w:rPr>
          <w:lang w:eastAsia="en-US"/>
        </w:rPr>
        <w:t xml:space="preserve">- Изделия) </w:t>
      </w:r>
      <w:r w:rsidRPr="00F5667E">
        <w:rPr>
          <w:lang w:eastAsia="en-US"/>
        </w:rPr>
        <w:t xml:space="preserve">для </w:t>
      </w:r>
      <w:r>
        <w:rPr>
          <w:lang w:eastAsia="en-US"/>
        </w:rPr>
        <w:t>инвалидов</w:t>
      </w:r>
      <w:r w:rsidRPr="00540704">
        <w:rPr>
          <w:lang w:eastAsia="en-US"/>
        </w:rPr>
        <w:t xml:space="preserve"> </w:t>
      </w:r>
      <w:r w:rsidRPr="00EA46DE">
        <w:t xml:space="preserve">(далее – Получатели) </w:t>
      </w:r>
      <w:r w:rsidRPr="00EA46DE">
        <w:rPr>
          <w:rFonts w:eastAsia="Times New Roman"/>
        </w:rPr>
        <w:t>в соответствии с требованиями, предъявляемыми в настоящем техническом задании, в период действия государственного контракта.</w:t>
      </w:r>
    </w:p>
    <w:p w:rsidR="002A3ACB" w:rsidRPr="00EA46DE" w:rsidRDefault="002A3ACB" w:rsidP="002A3ACB">
      <w:pPr>
        <w:autoSpaceDE w:val="0"/>
        <w:autoSpaceDN w:val="0"/>
        <w:adjustRightInd w:val="0"/>
        <w:ind w:left="-426"/>
        <w:jc w:val="both"/>
        <w:rPr>
          <w:rFonts w:eastAsia="Times New Roman"/>
        </w:rPr>
      </w:pPr>
    </w:p>
    <w:p w:rsidR="002A3ACB" w:rsidRDefault="002A3ACB" w:rsidP="002A3ACB">
      <w:pPr>
        <w:ind w:left="-426"/>
        <w:jc w:val="both"/>
        <w:rPr>
          <w:rFonts w:eastAsia="Times New Roman"/>
        </w:rPr>
      </w:pPr>
      <w:r w:rsidRPr="00EA46DE">
        <w:rPr>
          <w:rFonts w:eastAsia="Times New Roman"/>
          <w:b/>
        </w:rPr>
        <w:t>Срок поставки:</w:t>
      </w:r>
      <w:r w:rsidRPr="00EA46DE">
        <w:rPr>
          <w:rFonts w:eastAsia="Times New Roman"/>
        </w:rPr>
        <w:t xml:space="preserve"> </w:t>
      </w:r>
      <w:r>
        <w:t>с</w:t>
      </w:r>
      <w:r w:rsidRPr="00EA46DE">
        <w:t xml:space="preserve"> дня, следующего за днем заключения г</w:t>
      </w:r>
      <w:r>
        <w:t>осударственного контракта, до 11</w:t>
      </w:r>
      <w:r w:rsidRPr="00EA46DE">
        <w:t>.12.2019 включительно.</w:t>
      </w:r>
      <w:r w:rsidRPr="00EA46DE">
        <w:rPr>
          <w:rFonts w:eastAsia="Times New Roman"/>
        </w:rPr>
        <w:t xml:space="preserve"> </w:t>
      </w:r>
    </w:p>
    <w:p w:rsidR="002A3ACB" w:rsidRPr="00EA46DE" w:rsidRDefault="002A3ACB" w:rsidP="002A3ACB">
      <w:pPr>
        <w:ind w:left="-426"/>
        <w:jc w:val="both"/>
        <w:rPr>
          <w:rFonts w:eastAsia="Arial Unicode MS"/>
        </w:rPr>
      </w:pPr>
    </w:p>
    <w:p w:rsidR="002A3ACB" w:rsidRPr="00A508C4" w:rsidRDefault="002A3ACB" w:rsidP="002A3ACB">
      <w:pPr>
        <w:numPr>
          <w:ilvl w:val="0"/>
          <w:numId w:val="1"/>
        </w:numPr>
        <w:jc w:val="both"/>
        <w:rPr>
          <w:rFonts w:eastAsia="Times New Roman"/>
          <w:b/>
        </w:rPr>
      </w:pPr>
      <w:r>
        <w:rPr>
          <w:rFonts w:eastAsia="Times New Roman"/>
          <w:b/>
        </w:rPr>
        <w:t>Поставляемые Изделия должны отвечать следующим требованиям:</w:t>
      </w:r>
    </w:p>
    <w:p w:rsidR="002A3ACB" w:rsidRPr="00461C43" w:rsidRDefault="002A3ACB" w:rsidP="002A3ACB">
      <w:pPr>
        <w:ind w:left="-426"/>
        <w:jc w:val="both"/>
        <w:rPr>
          <w:rFonts w:ascii="Times New Roman CYR" w:eastAsia="Times New Roman" w:hAnsi="Times New Roman CYR" w:cs="Times New Roman CYR"/>
        </w:rPr>
      </w:pPr>
      <w:r>
        <w:rPr>
          <w:rFonts w:eastAsia="Times New Roman"/>
        </w:rPr>
        <w:t xml:space="preserve">1.1 </w:t>
      </w:r>
      <w:r w:rsidRPr="00461C43">
        <w:rPr>
          <w:rFonts w:eastAsia="Times New Roman"/>
        </w:rPr>
        <w:t xml:space="preserve">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w:t>
      </w:r>
      <w:r w:rsidRPr="00461C43">
        <w:rPr>
          <w:rFonts w:ascii="Times New Roman CYR" w:eastAsia="Times New Roman" w:hAnsi="Times New Roman CYR" w:cs="Times New Roman CYR"/>
        </w:rPr>
        <w:t>(Закон Российской Федерации от 07.02.1992 № 2300-1 «О защите прав потребителей»).</w:t>
      </w:r>
    </w:p>
    <w:p w:rsidR="002A3ACB" w:rsidRDefault="002A3ACB" w:rsidP="002A3ACB">
      <w:pPr>
        <w:widowControl w:val="0"/>
        <w:ind w:left="-426"/>
        <w:jc w:val="both"/>
        <w:rPr>
          <w:rFonts w:eastAsia="Times New Roman"/>
          <w:bCs/>
          <w:kern w:val="36"/>
        </w:rPr>
      </w:pPr>
      <w:r>
        <w:rPr>
          <w:rFonts w:ascii="Times New Roman CYR" w:eastAsia="Times New Roman" w:hAnsi="Times New Roman CYR" w:cs="Times New Roman CYR"/>
        </w:rPr>
        <w:t>1.2.</w:t>
      </w:r>
      <w:r w:rsidRPr="00461C43">
        <w:rPr>
          <w:rFonts w:eastAsia="Times New Roman"/>
          <w:lang w:eastAsia="ar-SA"/>
        </w:rPr>
        <w:t xml:space="preserve"> Изделия должны соответствовать требованиям государственным стандартам (ГОСТ), действующим на территории Российской Федерации: </w:t>
      </w:r>
      <w:r w:rsidRPr="00B252EE">
        <w:t>ГОСТ Р 51024-2012 «Аппараты слуховые электронные реабилитационные. Общие технические условия»</w:t>
      </w:r>
      <w:r w:rsidRPr="00461C43">
        <w:rPr>
          <w:rFonts w:eastAsia="Times New Roman"/>
          <w:bCs/>
          <w:kern w:val="36"/>
        </w:rPr>
        <w:t>.</w:t>
      </w:r>
    </w:p>
    <w:p w:rsidR="002A3ACB" w:rsidRPr="00461C43" w:rsidRDefault="002A3ACB" w:rsidP="002A3ACB">
      <w:pPr>
        <w:widowControl w:val="0"/>
        <w:ind w:left="-426"/>
        <w:jc w:val="both"/>
        <w:rPr>
          <w:rFonts w:ascii="Times New Roman CYR" w:eastAsia="Times New Roman" w:hAnsi="Times New Roman CYR" w:cs="Times New Roman CYR"/>
        </w:rPr>
      </w:pPr>
      <w:r>
        <w:rPr>
          <w:rFonts w:eastAsia="Times New Roman"/>
        </w:rPr>
        <w:t>1.3</w:t>
      </w:r>
      <w:r w:rsidRPr="00461C43">
        <w:rPr>
          <w:rFonts w:eastAsia="Times New Roman"/>
        </w:rPr>
        <w:t>. Изделия должны быть в упаковке, обеспечивающей защиту от воздействия механических и климатических факторов (п.</w:t>
      </w:r>
      <w:r>
        <w:rPr>
          <w:rFonts w:eastAsia="Times New Roman"/>
        </w:rPr>
        <w:t xml:space="preserve"> </w:t>
      </w:r>
      <w:r w:rsidRPr="00461C43">
        <w:rPr>
          <w:rFonts w:eastAsia="Times New Roman"/>
        </w:rPr>
        <w:t>4.11.5 ГОСТ Р 51632-2014 «Технические средства реабилитации людей с ограничениями жизнедеятельности. Общие технические требования и методы испытаний»)</w:t>
      </w:r>
      <w:r w:rsidRPr="00461C43">
        <w:rPr>
          <w:rFonts w:ascii="Times New Roman CYR" w:eastAsia="Times New Roman" w:hAnsi="Times New Roman CYR" w:cs="Times New Roman CYR"/>
        </w:rPr>
        <w:t xml:space="preserve">. </w:t>
      </w:r>
    </w:p>
    <w:p w:rsidR="002A3ACB" w:rsidRPr="00461C43" w:rsidRDefault="002A3ACB" w:rsidP="002A3ACB">
      <w:pPr>
        <w:autoSpaceDE w:val="0"/>
        <w:autoSpaceDN w:val="0"/>
        <w:adjustRightInd w:val="0"/>
        <w:ind w:left="-426"/>
        <w:jc w:val="both"/>
        <w:rPr>
          <w:rFonts w:eastAsia="Times New Roman"/>
        </w:rPr>
      </w:pPr>
      <w:r>
        <w:rPr>
          <w:rFonts w:eastAsia="Times New Roman"/>
        </w:rPr>
        <w:t>1.4</w:t>
      </w:r>
      <w:r w:rsidRPr="00461C43">
        <w:rPr>
          <w:rFonts w:eastAsia="Times New Roman"/>
        </w:rPr>
        <w:t>. Изделия должны быть новыми</w:t>
      </w:r>
      <w:r>
        <w:rPr>
          <w:rFonts w:eastAsia="Times New Roman"/>
        </w:rPr>
        <w:t>.</w:t>
      </w:r>
      <w:r w:rsidRPr="00461C43">
        <w:rPr>
          <w:rFonts w:eastAsia="Times New Roman"/>
        </w:rPr>
        <w:t xml:space="preserve"> Изделиями</w:t>
      </w:r>
      <w:r w:rsidRPr="00461C43">
        <w:t>, которые не был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r>
        <w:t xml:space="preserve"> </w:t>
      </w:r>
      <w:r w:rsidRPr="00461C43">
        <w:rPr>
          <w:rFonts w:eastAsia="Times New Roman"/>
        </w:rPr>
        <w:t>Изделия должны быть свободными от прав третьих лиц.</w:t>
      </w:r>
    </w:p>
    <w:p w:rsidR="002A3ACB" w:rsidRDefault="002A3ACB" w:rsidP="006F0614">
      <w:pPr>
        <w:ind w:left="-426"/>
        <w:jc w:val="both"/>
        <w:rPr>
          <w:rFonts w:eastAsia="Times New Roman"/>
          <w:bCs/>
        </w:rPr>
      </w:pPr>
      <w:r>
        <w:rPr>
          <w:rFonts w:eastAsia="Times New Roman"/>
        </w:rPr>
        <w:t>1.5</w:t>
      </w:r>
      <w:r w:rsidRPr="00EA46DE">
        <w:rPr>
          <w:rFonts w:eastAsia="Times New Roman"/>
        </w:rPr>
        <w:t xml:space="preserve">. </w:t>
      </w:r>
      <w:r>
        <w:rPr>
          <w:rFonts w:eastAsia="Times New Roman"/>
          <w:bCs/>
        </w:rPr>
        <w:t>Изделий должны отвечать следующим требованиям</w:t>
      </w:r>
      <w:r>
        <w:rPr>
          <w:rStyle w:val="a5"/>
          <w:rFonts w:eastAsia="Times New Roman"/>
          <w:bCs/>
        </w:rPr>
        <w:footnoteReference w:id="1"/>
      </w:r>
      <w:r w:rsidRPr="00EA46DE">
        <w:rPr>
          <w:rFonts w:eastAsia="Times New Roman"/>
        </w:rPr>
        <w:t xml:space="preserve">. </w:t>
      </w:r>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592"/>
        <w:gridCol w:w="2042"/>
        <w:gridCol w:w="2044"/>
        <w:gridCol w:w="2042"/>
        <w:gridCol w:w="1316"/>
        <w:gridCol w:w="1171"/>
      </w:tblGrid>
      <w:tr w:rsidR="002A3ACB" w:rsidRPr="00B74534" w:rsidTr="00B453F9">
        <w:trPr>
          <w:trHeight w:val="702"/>
        </w:trPr>
        <w:tc>
          <w:tcPr>
            <w:tcW w:w="276" w:type="pct"/>
          </w:tcPr>
          <w:p w:rsidR="002A3ACB" w:rsidRPr="0094703B" w:rsidRDefault="002A3ACB" w:rsidP="0030595D">
            <w:pPr>
              <w:ind w:left="50" w:hanging="50"/>
              <w:jc w:val="both"/>
              <w:rPr>
                <w:rFonts w:eastAsia="Times New Roman"/>
              </w:rPr>
            </w:pPr>
            <w:r w:rsidRPr="00D16B1F">
              <w:t xml:space="preserve">№ </w:t>
            </w:r>
            <w:proofErr w:type="spellStart"/>
            <w:r w:rsidRPr="00D16B1F">
              <w:t>пп</w:t>
            </w:r>
            <w:proofErr w:type="spellEnd"/>
          </w:p>
        </w:tc>
        <w:tc>
          <w:tcPr>
            <w:tcW w:w="737" w:type="pct"/>
          </w:tcPr>
          <w:p w:rsidR="002A3ACB" w:rsidRPr="00D16B1F" w:rsidRDefault="002A3ACB" w:rsidP="0030595D">
            <w:pPr>
              <w:widowControl w:val="0"/>
              <w:suppressAutoHyphens/>
              <w:jc w:val="center"/>
              <w:rPr>
                <w:rFonts w:eastAsia="Times New Roman"/>
              </w:rPr>
            </w:pPr>
            <w:r w:rsidRPr="00D16B1F">
              <w:rPr>
                <w:rFonts w:eastAsia="Times New Roman"/>
              </w:rPr>
              <w:t>Наименование Изделия</w:t>
            </w:r>
          </w:p>
          <w:p w:rsidR="002A3ACB" w:rsidRPr="00D16B1F" w:rsidRDefault="002A3ACB" w:rsidP="0030595D">
            <w:pPr>
              <w:widowControl w:val="0"/>
              <w:suppressAutoHyphens/>
              <w:jc w:val="center"/>
              <w:rPr>
                <w:rFonts w:eastAsia="Times New Roman"/>
              </w:rPr>
            </w:pPr>
            <w:r w:rsidRPr="00D16B1F">
              <w:rPr>
                <w:rFonts w:eastAsia="Times New Roman"/>
              </w:rPr>
              <w:t>по</w:t>
            </w:r>
          </w:p>
          <w:p w:rsidR="002A3ACB" w:rsidRPr="00AA02C9" w:rsidRDefault="002A3ACB" w:rsidP="0030595D">
            <w:pPr>
              <w:jc w:val="center"/>
              <w:rPr>
                <w:color w:val="000000"/>
              </w:rPr>
            </w:pPr>
            <w:r w:rsidRPr="00D16B1F">
              <w:rPr>
                <w:rFonts w:eastAsia="Times New Roman"/>
              </w:rPr>
              <w:t>КТРУ</w:t>
            </w:r>
          </w:p>
        </w:tc>
        <w:tc>
          <w:tcPr>
            <w:tcW w:w="945" w:type="pct"/>
          </w:tcPr>
          <w:p w:rsidR="002A3ACB" w:rsidRPr="00D16B1F" w:rsidRDefault="002A3ACB" w:rsidP="0030595D">
            <w:pPr>
              <w:widowControl w:val="0"/>
              <w:suppressAutoHyphens/>
              <w:jc w:val="center"/>
              <w:rPr>
                <w:rFonts w:eastAsia="Times New Roman"/>
              </w:rPr>
            </w:pPr>
            <w:r w:rsidRPr="00D16B1F">
              <w:rPr>
                <w:rFonts w:eastAsia="Times New Roman"/>
              </w:rPr>
              <w:t>Наименование Изделия</w:t>
            </w:r>
            <w:r w:rsidR="00B453F9">
              <w:rPr>
                <w:rFonts w:eastAsia="Times New Roman"/>
              </w:rPr>
              <w:t xml:space="preserve"> по ОКПД2</w:t>
            </w:r>
          </w:p>
          <w:p w:rsidR="002A3ACB" w:rsidRDefault="002A3ACB" w:rsidP="0030595D">
            <w:pPr>
              <w:jc w:val="center"/>
              <w:rPr>
                <w:rFonts w:eastAsia="Times New Roman"/>
                <w:color w:val="000000"/>
              </w:rPr>
            </w:pPr>
          </w:p>
        </w:tc>
        <w:tc>
          <w:tcPr>
            <w:tcW w:w="946" w:type="pct"/>
          </w:tcPr>
          <w:p w:rsidR="002A3ACB" w:rsidRPr="00B74534" w:rsidRDefault="002A3ACB" w:rsidP="0030595D">
            <w:pPr>
              <w:jc w:val="center"/>
              <w:rPr>
                <w:rFonts w:eastAsia="Times New Roman"/>
                <w:color w:val="000000"/>
              </w:rPr>
            </w:pPr>
            <w:r w:rsidRPr="00D16B1F">
              <w:t>Характеристики Изделия</w:t>
            </w:r>
          </w:p>
        </w:tc>
        <w:tc>
          <w:tcPr>
            <w:tcW w:w="945" w:type="pct"/>
          </w:tcPr>
          <w:p w:rsidR="002A3ACB" w:rsidRPr="0094703B" w:rsidRDefault="002A3ACB" w:rsidP="0030595D">
            <w:pPr>
              <w:rPr>
                <w:rFonts w:eastAsia="Times New Roman"/>
                <w:color w:val="000000"/>
              </w:rPr>
            </w:pPr>
            <w:r w:rsidRPr="00D16B1F">
              <w:rPr>
                <w:rFonts w:eastAsia="Times New Roman"/>
              </w:rPr>
              <w:t xml:space="preserve">Показатель </w:t>
            </w:r>
            <w:r w:rsidRPr="00D16B1F">
              <w:rPr>
                <w:rFonts w:eastAsia="Times New Roman"/>
                <w:bCs/>
              </w:rPr>
              <w:t>характеристики Изделия</w:t>
            </w:r>
          </w:p>
        </w:tc>
        <w:tc>
          <w:tcPr>
            <w:tcW w:w="608" w:type="pct"/>
          </w:tcPr>
          <w:p w:rsidR="002A3ACB" w:rsidRPr="002E1868" w:rsidRDefault="002A3ACB" w:rsidP="0030595D">
            <w:pPr>
              <w:widowControl w:val="0"/>
              <w:suppressAutoHyphens/>
              <w:spacing w:line="240" w:lineRule="atLeast"/>
              <w:jc w:val="center"/>
              <w:rPr>
                <w:sz w:val="22"/>
                <w:szCs w:val="22"/>
              </w:rPr>
            </w:pPr>
            <w:r w:rsidRPr="00D16B1F">
              <w:rPr>
                <w:rFonts w:eastAsia="Times New Roman"/>
              </w:rPr>
              <w:t>ГОСТ, технический регламент/обоснование использования (в том числе его характеристика)</w:t>
            </w:r>
          </w:p>
        </w:tc>
        <w:tc>
          <w:tcPr>
            <w:tcW w:w="542" w:type="pct"/>
          </w:tcPr>
          <w:p w:rsidR="002A3ACB" w:rsidRDefault="002A3ACB" w:rsidP="0030595D">
            <w:pPr>
              <w:widowControl w:val="0"/>
              <w:suppressAutoHyphens/>
              <w:spacing w:line="240" w:lineRule="atLeast"/>
              <w:jc w:val="both"/>
              <w:rPr>
                <w:rFonts w:eastAsia="Times New Roman"/>
              </w:rPr>
            </w:pPr>
            <w:r w:rsidRPr="00D16B1F">
              <w:rPr>
                <w:color w:val="000000"/>
              </w:rPr>
              <w:t>Количество, (шт.)</w:t>
            </w:r>
          </w:p>
        </w:tc>
      </w:tr>
      <w:tr w:rsidR="002A3ACB" w:rsidRPr="00B74534" w:rsidTr="00B453F9">
        <w:trPr>
          <w:trHeight w:val="702"/>
        </w:trPr>
        <w:tc>
          <w:tcPr>
            <w:tcW w:w="276" w:type="pct"/>
            <w:vMerge w:val="restart"/>
          </w:tcPr>
          <w:p w:rsidR="002A3ACB" w:rsidRPr="0094703B" w:rsidRDefault="002A3ACB" w:rsidP="0030595D">
            <w:pPr>
              <w:ind w:left="50" w:hanging="50"/>
              <w:jc w:val="both"/>
              <w:rPr>
                <w:rFonts w:eastAsia="Times New Roman"/>
              </w:rPr>
            </w:pPr>
            <w:r w:rsidRPr="0094703B">
              <w:rPr>
                <w:rFonts w:eastAsia="Times New Roman"/>
              </w:rPr>
              <w:t>1</w:t>
            </w:r>
          </w:p>
          <w:p w:rsidR="002A3ACB" w:rsidRPr="0094703B" w:rsidRDefault="002A3ACB" w:rsidP="0030595D">
            <w:pPr>
              <w:ind w:left="50" w:hanging="50"/>
              <w:jc w:val="both"/>
              <w:rPr>
                <w:rFonts w:eastAsia="Times New Roman"/>
              </w:rPr>
            </w:pPr>
          </w:p>
        </w:tc>
        <w:tc>
          <w:tcPr>
            <w:tcW w:w="737" w:type="pct"/>
            <w:vMerge w:val="restart"/>
          </w:tcPr>
          <w:p w:rsidR="002A3ACB" w:rsidRPr="00AA02C9" w:rsidRDefault="002A3ACB" w:rsidP="005F099C">
            <w:pPr>
              <w:jc w:val="both"/>
              <w:rPr>
                <w:rFonts w:eastAsia="Times New Roman"/>
                <w:color w:val="000000"/>
              </w:rPr>
            </w:pPr>
            <w:r w:rsidRPr="00AA02C9">
              <w:rPr>
                <w:color w:val="000000"/>
              </w:rPr>
              <w:t xml:space="preserve">Аппарат слуховой заушный воздушной проводимости </w:t>
            </w:r>
          </w:p>
        </w:tc>
        <w:tc>
          <w:tcPr>
            <w:tcW w:w="945" w:type="pct"/>
            <w:vMerge w:val="restart"/>
          </w:tcPr>
          <w:p w:rsidR="002A3ACB" w:rsidRPr="0094703B" w:rsidRDefault="00B453F9" w:rsidP="005F099C">
            <w:pPr>
              <w:rPr>
                <w:rFonts w:eastAsia="Times New Roman"/>
                <w:color w:val="000000"/>
              </w:rPr>
            </w:pPr>
            <w:r>
              <w:rPr>
                <w:rFonts w:eastAsia="Times New Roman"/>
                <w:color w:val="000000"/>
              </w:rPr>
              <w:t>Аппараты слуховые</w:t>
            </w:r>
          </w:p>
        </w:tc>
        <w:tc>
          <w:tcPr>
            <w:tcW w:w="946" w:type="pct"/>
          </w:tcPr>
          <w:p w:rsidR="002A3ACB" w:rsidRPr="0094703B" w:rsidRDefault="002A3ACB" w:rsidP="0030595D">
            <w:pPr>
              <w:jc w:val="both"/>
              <w:rPr>
                <w:rFonts w:eastAsia="Times New Roman"/>
                <w:color w:val="000000"/>
              </w:rPr>
            </w:pPr>
            <w:r w:rsidRPr="00B74534">
              <w:rPr>
                <w:rFonts w:eastAsia="Times New Roman"/>
                <w:color w:val="000000"/>
              </w:rPr>
              <w:t xml:space="preserve">Максимальный </w:t>
            </w:r>
            <w:r w:rsidRPr="0094703B">
              <w:rPr>
                <w:rFonts w:eastAsia="Times New Roman"/>
                <w:color w:val="000000"/>
              </w:rPr>
              <w:t>ВУЗД 90</w:t>
            </w:r>
          </w:p>
        </w:tc>
        <w:tc>
          <w:tcPr>
            <w:tcW w:w="945" w:type="pct"/>
          </w:tcPr>
          <w:p w:rsidR="002A3ACB" w:rsidRPr="0094703B" w:rsidRDefault="002A3ACB" w:rsidP="0030595D">
            <w:pPr>
              <w:rPr>
                <w:rFonts w:eastAsia="Times New Roman"/>
                <w:color w:val="000000"/>
              </w:rPr>
            </w:pPr>
            <w:r w:rsidRPr="0094703B">
              <w:rPr>
                <w:rFonts w:eastAsia="Times New Roman"/>
                <w:color w:val="000000"/>
              </w:rPr>
              <w:t>Не менее 12</w:t>
            </w:r>
            <w:r>
              <w:rPr>
                <w:rFonts w:eastAsia="Times New Roman"/>
                <w:color w:val="000000"/>
              </w:rPr>
              <w:t>4</w:t>
            </w:r>
            <w:r w:rsidRPr="0094703B">
              <w:rPr>
                <w:rFonts w:eastAsia="Times New Roman"/>
                <w:color w:val="000000"/>
              </w:rPr>
              <w:t xml:space="preserve"> дБ (включительно) не более</w:t>
            </w:r>
            <w:r>
              <w:rPr>
                <w:rFonts w:eastAsia="Times New Roman"/>
                <w:color w:val="000000"/>
              </w:rPr>
              <w:t xml:space="preserve"> 128</w:t>
            </w:r>
            <w:r w:rsidRPr="0094703B">
              <w:rPr>
                <w:rFonts w:eastAsia="Times New Roman"/>
                <w:color w:val="000000"/>
              </w:rPr>
              <w:t xml:space="preserve"> дБ</w:t>
            </w:r>
            <w:r>
              <w:rPr>
                <w:rFonts w:eastAsia="Times New Roman"/>
                <w:color w:val="000000"/>
              </w:rPr>
              <w:t xml:space="preserve"> </w:t>
            </w:r>
            <w:r w:rsidRPr="0094703B">
              <w:rPr>
                <w:rFonts w:eastAsia="Times New Roman"/>
                <w:color w:val="000000"/>
              </w:rPr>
              <w:t>(включительно)</w:t>
            </w:r>
          </w:p>
        </w:tc>
        <w:tc>
          <w:tcPr>
            <w:tcW w:w="608" w:type="pct"/>
            <w:vMerge w:val="restart"/>
          </w:tcPr>
          <w:p w:rsidR="002A3ACB" w:rsidRPr="0094703B" w:rsidRDefault="002A3ACB" w:rsidP="0030595D">
            <w:pPr>
              <w:widowControl w:val="0"/>
              <w:suppressAutoHyphens/>
              <w:spacing w:line="240" w:lineRule="atLeast"/>
              <w:jc w:val="both"/>
              <w:rPr>
                <w:rFonts w:eastAsia="Times New Roman"/>
              </w:rPr>
            </w:pPr>
            <w:r w:rsidRPr="002E1868">
              <w:rPr>
                <w:sz w:val="22"/>
                <w:szCs w:val="22"/>
              </w:rPr>
              <w:t xml:space="preserve">Методические рекомендации по установлению медицинских показаний и противопоказаний при </w:t>
            </w:r>
            <w:r w:rsidRPr="002E1868">
              <w:rPr>
                <w:sz w:val="22"/>
                <w:szCs w:val="22"/>
              </w:rPr>
              <w:lastRenderedPageBreak/>
              <w:t>назначении специалистами МСЭ ТСР инвалида и методика их рационального подбора (дал</w:t>
            </w:r>
            <w:r>
              <w:rPr>
                <w:sz w:val="22"/>
                <w:szCs w:val="22"/>
              </w:rPr>
              <w:t>ее – Методические рекомендации)</w:t>
            </w:r>
            <w:r w:rsidRPr="002E1868">
              <w:rPr>
                <w:sz w:val="22"/>
                <w:szCs w:val="22"/>
              </w:rPr>
              <w:t xml:space="preserve"> </w:t>
            </w:r>
          </w:p>
        </w:tc>
        <w:tc>
          <w:tcPr>
            <w:tcW w:w="542" w:type="pct"/>
            <w:vMerge w:val="restart"/>
          </w:tcPr>
          <w:p w:rsidR="002A3ACB" w:rsidRPr="0094703B" w:rsidRDefault="002A3ACB" w:rsidP="0030595D">
            <w:pPr>
              <w:widowControl w:val="0"/>
              <w:suppressAutoHyphens/>
              <w:spacing w:line="240" w:lineRule="atLeast"/>
              <w:jc w:val="both"/>
              <w:rPr>
                <w:rFonts w:eastAsia="Times New Roman"/>
              </w:rPr>
            </w:pPr>
            <w:r>
              <w:rPr>
                <w:rFonts w:eastAsia="Times New Roman"/>
              </w:rPr>
              <w:lastRenderedPageBreak/>
              <w:t>200</w:t>
            </w:r>
          </w:p>
        </w:tc>
      </w:tr>
      <w:tr w:rsidR="002A3ACB" w:rsidRPr="00B74534" w:rsidTr="00B453F9">
        <w:trPr>
          <w:trHeight w:val="653"/>
        </w:trPr>
        <w:tc>
          <w:tcPr>
            <w:tcW w:w="276" w:type="pct"/>
            <w:vMerge/>
          </w:tcPr>
          <w:p w:rsidR="002A3ACB" w:rsidRPr="0094703B" w:rsidRDefault="002A3ACB" w:rsidP="0030595D">
            <w:pPr>
              <w:ind w:left="50" w:hanging="50"/>
              <w:jc w:val="both"/>
              <w:rPr>
                <w:rFonts w:eastAsia="Times New Roman"/>
              </w:rPr>
            </w:pPr>
          </w:p>
        </w:tc>
        <w:tc>
          <w:tcPr>
            <w:tcW w:w="737" w:type="pct"/>
            <w:vMerge/>
          </w:tcPr>
          <w:p w:rsidR="002A3ACB" w:rsidRPr="00B74534" w:rsidRDefault="002A3ACB" w:rsidP="0030595D">
            <w:pPr>
              <w:jc w:val="both"/>
              <w:rPr>
                <w:rFonts w:eastAsia="Times New Roman"/>
                <w:b/>
              </w:rPr>
            </w:pPr>
          </w:p>
        </w:tc>
        <w:tc>
          <w:tcPr>
            <w:tcW w:w="945" w:type="pct"/>
            <w:vMerge/>
          </w:tcPr>
          <w:p w:rsidR="002A3ACB" w:rsidRPr="0094703B" w:rsidRDefault="002A3ACB" w:rsidP="0030595D">
            <w:pPr>
              <w:jc w:val="both"/>
              <w:rPr>
                <w:rFonts w:eastAsia="Times New Roman"/>
              </w:rPr>
            </w:pPr>
          </w:p>
        </w:tc>
        <w:tc>
          <w:tcPr>
            <w:tcW w:w="946" w:type="pct"/>
          </w:tcPr>
          <w:p w:rsidR="002A3ACB" w:rsidRPr="0094703B" w:rsidRDefault="002A3ACB" w:rsidP="0030595D">
            <w:pPr>
              <w:jc w:val="both"/>
              <w:rPr>
                <w:rFonts w:eastAsia="Arial Unicode MS"/>
              </w:rPr>
            </w:pPr>
            <w:r w:rsidRPr="00B74534">
              <w:rPr>
                <w:rFonts w:eastAsia="Times New Roman"/>
                <w:color w:val="000000"/>
              </w:rPr>
              <w:t>Максимальн</w:t>
            </w:r>
            <w:r>
              <w:rPr>
                <w:rFonts w:eastAsia="Times New Roman"/>
                <w:color w:val="000000"/>
              </w:rPr>
              <w:t>ое</w:t>
            </w:r>
            <w:r w:rsidRPr="00B74534">
              <w:rPr>
                <w:rFonts w:eastAsia="Times New Roman"/>
                <w:color w:val="000000"/>
              </w:rPr>
              <w:t xml:space="preserve"> </w:t>
            </w:r>
            <w:r>
              <w:rPr>
                <w:rFonts w:eastAsia="Times New Roman"/>
                <w:color w:val="000000"/>
              </w:rPr>
              <w:t>усиление</w:t>
            </w:r>
          </w:p>
        </w:tc>
        <w:tc>
          <w:tcPr>
            <w:tcW w:w="945" w:type="pct"/>
          </w:tcPr>
          <w:p w:rsidR="002A3ACB" w:rsidRPr="0094703B" w:rsidRDefault="002A3ACB" w:rsidP="0030595D">
            <w:pPr>
              <w:jc w:val="both"/>
              <w:rPr>
                <w:rFonts w:eastAsia="Times New Roman"/>
              </w:rPr>
            </w:pPr>
            <w:r w:rsidRPr="0094703B">
              <w:rPr>
                <w:rFonts w:eastAsia="Times New Roman"/>
                <w:color w:val="000000"/>
              </w:rPr>
              <w:t xml:space="preserve">Не менее </w:t>
            </w:r>
            <w:r>
              <w:rPr>
                <w:rFonts w:eastAsia="Times New Roman"/>
                <w:color w:val="000000"/>
              </w:rPr>
              <w:t>58</w:t>
            </w:r>
            <w:r w:rsidRPr="0094703B">
              <w:rPr>
                <w:rFonts w:eastAsia="Times New Roman"/>
                <w:color w:val="000000"/>
              </w:rPr>
              <w:t xml:space="preserve"> дБ (включительно) не более</w:t>
            </w:r>
            <w:r>
              <w:rPr>
                <w:rFonts w:eastAsia="Times New Roman"/>
                <w:color w:val="000000"/>
              </w:rPr>
              <w:t xml:space="preserve"> 62</w:t>
            </w:r>
            <w:r w:rsidRPr="0094703B">
              <w:rPr>
                <w:rFonts w:eastAsia="Times New Roman"/>
                <w:color w:val="000000"/>
              </w:rPr>
              <w:t xml:space="preserve"> дБ</w:t>
            </w:r>
            <w:r>
              <w:rPr>
                <w:rFonts w:eastAsia="Times New Roman"/>
                <w:color w:val="000000"/>
              </w:rPr>
              <w:t xml:space="preserve"> </w:t>
            </w:r>
            <w:r w:rsidRPr="0094703B">
              <w:rPr>
                <w:rFonts w:eastAsia="Times New Roman"/>
                <w:color w:val="000000"/>
              </w:rPr>
              <w:t>(включительно)</w:t>
            </w:r>
          </w:p>
        </w:tc>
        <w:tc>
          <w:tcPr>
            <w:tcW w:w="608" w:type="pct"/>
            <w:vMerge/>
          </w:tcPr>
          <w:p w:rsidR="002A3ACB" w:rsidRPr="0094703B" w:rsidRDefault="002A3ACB" w:rsidP="0030595D">
            <w:pPr>
              <w:widowControl w:val="0"/>
              <w:suppressAutoHyphens/>
              <w:snapToGrid w:val="0"/>
              <w:jc w:val="both"/>
              <w:rPr>
                <w:rFonts w:eastAsia="Times New Roman"/>
              </w:rPr>
            </w:pPr>
          </w:p>
        </w:tc>
        <w:tc>
          <w:tcPr>
            <w:tcW w:w="542" w:type="pct"/>
            <w:vMerge/>
          </w:tcPr>
          <w:p w:rsidR="002A3ACB" w:rsidRPr="0094703B" w:rsidRDefault="002A3ACB" w:rsidP="0030595D">
            <w:pPr>
              <w:widowControl w:val="0"/>
              <w:suppressAutoHyphens/>
              <w:snapToGrid w:val="0"/>
              <w:jc w:val="both"/>
              <w:rPr>
                <w:rFonts w:eastAsia="Times New Roman"/>
              </w:rPr>
            </w:pPr>
          </w:p>
        </w:tc>
      </w:tr>
      <w:tr w:rsidR="002A3ACB" w:rsidRPr="00B74534" w:rsidTr="00B453F9">
        <w:trPr>
          <w:trHeight w:val="782"/>
        </w:trPr>
        <w:tc>
          <w:tcPr>
            <w:tcW w:w="276" w:type="pct"/>
            <w:vMerge w:val="restart"/>
          </w:tcPr>
          <w:p w:rsidR="002A3ACB" w:rsidRPr="0094703B" w:rsidRDefault="002A3ACB" w:rsidP="0030595D">
            <w:pPr>
              <w:ind w:left="50" w:hanging="50"/>
              <w:jc w:val="both"/>
              <w:rPr>
                <w:rFonts w:eastAsia="Times New Roman"/>
              </w:rPr>
            </w:pPr>
            <w:r w:rsidRPr="0094703B">
              <w:rPr>
                <w:rFonts w:eastAsia="Times New Roman"/>
              </w:rPr>
              <w:lastRenderedPageBreak/>
              <w:t>2</w:t>
            </w:r>
          </w:p>
        </w:tc>
        <w:tc>
          <w:tcPr>
            <w:tcW w:w="737" w:type="pct"/>
            <w:vMerge w:val="restart"/>
          </w:tcPr>
          <w:p w:rsidR="002A3ACB" w:rsidRPr="00AA02C9" w:rsidRDefault="002A3ACB" w:rsidP="005F099C">
            <w:pPr>
              <w:jc w:val="both"/>
              <w:rPr>
                <w:rFonts w:eastAsia="Times New Roman"/>
                <w:color w:val="000000"/>
              </w:rPr>
            </w:pPr>
            <w:r w:rsidRPr="00AA02C9">
              <w:rPr>
                <w:color w:val="000000"/>
              </w:rPr>
              <w:t xml:space="preserve">Аппарат слуховой заушный воздушной проводимости </w:t>
            </w:r>
          </w:p>
        </w:tc>
        <w:tc>
          <w:tcPr>
            <w:tcW w:w="945" w:type="pct"/>
            <w:vMerge w:val="restart"/>
          </w:tcPr>
          <w:p w:rsidR="002A3ACB" w:rsidRPr="0094703B" w:rsidRDefault="00B453F9" w:rsidP="005F099C">
            <w:pPr>
              <w:rPr>
                <w:rFonts w:eastAsia="Times New Roman"/>
                <w:color w:val="000000"/>
              </w:rPr>
            </w:pPr>
            <w:r>
              <w:rPr>
                <w:rFonts w:eastAsia="Times New Roman"/>
                <w:color w:val="000000"/>
              </w:rPr>
              <w:t>Аппараты слуховые</w:t>
            </w:r>
          </w:p>
        </w:tc>
        <w:tc>
          <w:tcPr>
            <w:tcW w:w="946" w:type="pct"/>
          </w:tcPr>
          <w:p w:rsidR="002A3ACB" w:rsidRPr="0094703B" w:rsidRDefault="002A3ACB" w:rsidP="0030595D">
            <w:pPr>
              <w:jc w:val="both"/>
              <w:rPr>
                <w:rFonts w:eastAsia="Times New Roman"/>
                <w:color w:val="000000"/>
              </w:rPr>
            </w:pPr>
            <w:r w:rsidRPr="0094703B">
              <w:rPr>
                <w:rFonts w:eastAsia="Times New Roman"/>
                <w:color w:val="000000"/>
              </w:rPr>
              <w:t>Максимальный ВУЗД 90</w:t>
            </w:r>
          </w:p>
        </w:tc>
        <w:tc>
          <w:tcPr>
            <w:tcW w:w="945" w:type="pct"/>
          </w:tcPr>
          <w:p w:rsidR="002A3ACB" w:rsidRPr="0094703B" w:rsidRDefault="002A3ACB" w:rsidP="0030595D">
            <w:pPr>
              <w:jc w:val="both"/>
              <w:rPr>
                <w:rFonts w:eastAsia="Times New Roman"/>
                <w:color w:val="000000"/>
              </w:rPr>
            </w:pPr>
            <w:r w:rsidRPr="0094703B">
              <w:rPr>
                <w:rFonts w:eastAsia="Times New Roman"/>
                <w:color w:val="000000"/>
              </w:rPr>
              <w:t>Не менее 1</w:t>
            </w:r>
            <w:r>
              <w:rPr>
                <w:rFonts w:eastAsia="Times New Roman"/>
                <w:color w:val="000000"/>
              </w:rPr>
              <w:t>20</w:t>
            </w:r>
            <w:r w:rsidRPr="0094703B">
              <w:rPr>
                <w:rFonts w:eastAsia="Times New Roman"/>
                <w:color w:val="000000"/>
              </w:rPr>
              <w:t xml:space="preserve"> дБ (включительно)</w:t>
            </w:r>
            <w:r>
              <w:rPr>
                <w:rFonts w:eastAsia="Times New Roman"/>
                <w:color w:val="000000"/>
              </w:rPr>
              <w:t xml:space="preserve"> не более 124 дБ </w:t>
            </w:r>
            <w:r w:rsidRPr="0094703B">
              <w:rPr>
                <w:rFonts w:eastAsia="Times New Roman"/>
                <w:color w:val="000000"/>
              </w:rPr>
              <w:t>(включительно)</w:t>
            </w:r>
          </w:p>
        </w:tc>
        <w:tc>
          <w:tcPr>
            <w:tcW w:w="608" w:type="pct"/>
            <w:vMerge w:val="restart"/>
          </w:tcPr>
          <w:p w:rsidR="002A3ACB" w:rsidRPr="0094703B" w:rsidRDefault="002A3ACB" w:rsidP="0030595D">
            <w:pPr>
              <w:widowControl w:val="0"/>
              <w:suppressAutoHyphens/>
              <w:spacing w:line="240" w:lineRule="atLeast"/>
              <w:jc w:val="both"/>
              <w:rPr>
                <w:rFonts w:eastAsia="Times New Roman"/>
              </w:rPr>
            </w:pPr>
            <w:r w:rsidRPr="0094703B">
              <w:rPr>
                <w:rFonts w:eastAsia="Times New Roman"/>
              </w:rPr>
              <w:t>М</w:t>
            </w:r>
            <w:r>
              <w:rPr>
                <w:rFonts w:eastAsia="Times New Roman"/>
              </w:rPr>
              <w:t>етодические рекомендации</w:t>
            </w:r>
            <w:r w:rsidRPr="0094703B">
              <w:rPr>
                <w:rFonts w:eastAsia="Times New Roman"/>
              </w:rPr>
              <w:t xml:space="preserve"> </w:t>
            </w:r>
          </w:p>
        </w:tc>
        <w:tc>
          <w:tcPr>
            <w:tcW w:w="542" w:type="pct"/>
            <w:vMerge w:val="restart"/>
          </w:tcPr>
          <w:p w:rsidR="002A3ACB" w:rsidRPr="0094703B" w:rsidRDefault="002A3ACB" w:rsidP="0030595D">
            <w:pPr>
              <w:widowControl w:val="0"/>
              <w:suppressAutoHyphens/>
              <w:spacing w:line="240" w:lineRule="atLeast"/>
              <w:jc w:val="both"/>
              <w:rPr>
                <w:rFonts w:eastAsia="Times New Roman"/>
              </w:rPr>
            </w:pPr>
            <w:r>
              <w:rPr>
                <w:rFonts w:eastAsia="Times New Roman"/>
              </w:rPr>
              <w:t>75</w:t>
            </w:r>
          </w:p>
        </w:tc>
      </w:tr>
      <w:tr w:rsidR="002A3ACB" w:rsidRPr="00B74534" w:rsidTr="00B453F9">
        <w:trPr>
          <w:trHeight w:val="510"/>
        </w:trPr>
        <w:tc>
          <w:tcPr>
            <w:tcW w:w="276" w:type="pct"/>
            <w:vMerge/>
          </w:tcPr>
          <w:p w:rsidR="002A3ACB" w:rsidRPr="0094703B" w:rsidRDefault="002A3ACB" w:rsidP="0030595D">
            <w:pPr>
              <w:widowControl w:val="0"/>
              <w:jc w:val="both"/>
              <w:rPr>
                <w:rFonts w:eastAsia="Times New Roman"/>
              </w:rPr>
            </w:pPr>
          </w:p>
        </w:tc>
        <w:tc>
          <w:tcPr>
            <w:tcW w:w="737" w:type="pct"/>
            <w:vMerge/>
          </w:tcPr>
          <w:p w:rsidR="002A3ACB" w:rsidRPr="00B74534" w:rsidRDefault="002A3ACB" w:rsidP="0030595D">
            <w:pPr>
              <w:widowControl w:val="0"/>
              <w:jc w:val="both"/>
              <w:rPr>
                <w:rFonts w:eastAsia="Times New Roman"/>
              </w:rPr>
            </w:pPr>
          </w:p>
        </w:tc>
        <w:tc>
          <w:tcPr>
            <w:tcW w:w="945" w:type="pct"/>
            <w:vMerge/>
          </w:tcPr>
          <w:p w:rsidR="002A3ACB" w:rsidRPr="0094703B" w:rsidRDefault="002A3ACB" w:rsidP="0030595D">
            <w:pPr>
              <w:widowControl w:val="0"/>
              <w:jc w:val="both"/>
              <w:rPr>
                <w:rFonts w:eastAsia="Times New Roman"/>
              </w:rPr>
            </w:pPr>
          </w:p>
        </w:tc>
        <w:tc>
          <w:tcPr>
            <w:tcW w:w="946" w:type="pct"/>
          </w:tcPr>
          <w:p w:rsidR="002A3ACB" w:rsidRPr="0094703B" w:rsidRDefault="002A3ACB" w:rsidP="0030595D">
            <w:pPr>
              <w:jc w:val="both"/>
              <w:rPr>
                <w:rFonts w:eastAsia="Times New Roman"/>
                <w:color w:val="000000"/>
              </w:rPr>
            </w:pPr>
            <w:r w:rsidRPr="0094703B">
              <w:rPr>
                <w:rFonts w:eastAsia="Times New Roman"/>
                <w:color w:val="000000"/>
              </w:rPr>
              <w:t>Максимальное   усиление</w:t>
            </w:r>
          </w:p>
        </w:tc>
        <w:tc>
          <w:tcPr>
            <w:tcW w:w="945" w:type="pct"/>
          </w:tcPr>
          <w:p w:rsidR="002A3ACB" w:rsidRPr="0094703B" w:rsidRDefault="002A3ACB" w:rsidP="0030595D">
            <w:pPr>
              <w:jc w:val="both"/>
              <w:rPr>
                <w:rFonts w:eastAsia="Times New Roman"/>
                <w:color w:val="000000"/>
              </w:rPr>
            </w:pPr>
            <w:r>
              <w:rPr>
                <w:rFonts w:eastAsia="Times New Roman"/>
                <w:color w:val="000000"/>
              </w:rPr>
              <w:t xml:space="preserve">Не менее 50 </w:t>
            </w:r>
            <w:r w:rsidRPr="0094703B">
              <w:rPr>
                <w:rFonts w:eastAsia="Times New Roman"/>
                <w:color w:val="000000"/>
              </w:rPr>
              <w:t>дБ (включительно)</w:t>
            </w:r>
            <w:r>
              <w:rPr>
                <w:rFonts w:eastAsia="Times New Roman"/>
                <w:color w:val="000000"/>
              </w:rPr>
              <w:t xml:space="preserve"> не более 60 дБ </w:t>
            </w:r>
            <w:r w:rsidRPr="0094703B">
              <w:rPr>
                <w:rFonts w:eastAsia="Times New Roman"/>
                <w:color w:val="000000"/>
              </w:rPr>
              <w:t>(включительно)</w:t>
            </w:r>
          </w:p>
        </w:tc>
        <w:tc>
          <w:tcPr>
            <w:tcW w:w="608" w:type="pct"/>
            <w:vMerge/>
          </w:tcPr>
          <w:p w:rsidR="002A3ACB" w:rsidRPr="0094703B" w:rsidRDefault="002A3ACB" w:rsidP="0030595D">
            <w:pPr>
              <w:widowControl w:val="0"/>
              <w:jc w:val="both"/>
              <w:rPr>
                <w:rFonts w:eastAsia="Times New Roman"/>
              </w:rPr>
            </w:pPr>
          </w:p>
        </w:tc>
        <w:tc>
          <w:tcPr>
            <w:tcW w:w="542" w:type="pct"/>
            <w:vMerge/>
          </w:tcPr>
          <w:p w:rsidR="002A3ACB" w:rsidRPr="0094703B" w:rsidRDefault="002A3ACB" w:rsidP="0030595D">
            <w:pPr>
              <w:widowControl w:val="0"/>
              <w:jc w:val="both"/>
              <w:rPr>
                <w:rFonts w:eastAsia="Times New Roman"/>
              </w:rPr>
            </w:pPr>
          </w:p>
        </w:tc>
      </w:tr>
      <w:tr w:rsidR="002A3ACB" w:rsidRPr="00B74534" w:rsidTr="00B453F9">
        <w:trPr>
          <w:trHeight w:val="1251"/>
        </w:trPr>
        <w:tc>
          <w:tcPr>
            <w:tcW w:w="276" w:type="pct"/>
            <w:vMerge w:val="restart"/>
          </w:tcPr>
          <w:p w:rsidR="002A3ACB" w:rsidRPr="0094703B" w:rsidRDefault="002A3ACB" w:rsidP="0030595D">
            <w:pPr>
              <w:widowControl w:val="0"/>
              <w:jc w:val="both"/>
              <w:rPr>
                <w:rFonts w:eastAsia="Times New Roman"/>
              </w:rPr>
            </w:pPr>
            <w:r w:rsidRPr="0094703B">
              <w:rPr>
                <w:rFonts w:eastAsia="Times New Roman"/>
              </w:rPr>
              <w:t>3</w:t>
            </w:r>
          </w:p>
        </w:tc>
        <w:tc>
          <w:tcPr>
            <w:tcW w:w="737" w:type="pct"/>
            <w:vMerge w:val="restart"/>
          </w:tcPr>
          <w:p w:rsidR="00B453F9" w:rsidRPr="00AA02C9" w:rsidRDefault="002A3ACB" w:rsidP="005F099C">
            <w:pPr>
              <w:jc w:val="both"/>
              <w:rPr>
                <w:rFonts w:eastAsia="Times New Roman"/>
                <w:color w:val="000000"/>
              </w:rPr>
            </w:pPr>
            <w:r w:rsidRPr="00AA02C9">
              <w:rPr>
                <w:color w:val="000000"/>
              </w:rPr>
              <w:t xml:space="preserve">Аппарат слуховой заушный воздушной проводимости </w:t>
            </w:r>
          </w:p>
        </w:tc>
        <w:tc>
          <w:tcPr>
            <w:tcW w:w="945" w:type="pct"/>
            <w:vMerge w:val="restart"/>
          </w:tcPr>
          <w:p w:rsidR="002A3ACB" w:rsidRPr="0094703B" w:rsidRDefault="00B453F9" w:rsidP="005F099C">
            <w:pPr>
              <w:rPr>
                <w:rFonts w:eastAsia="Times New Roman"/>
                <w:color w:val="000000"/>
              </w:rPr>
            </w:pPr>
            <w:r>
              <w:rPr>
                <w:rFonts w:eastAsia="Times New Roman"/>
                <w:color w:val="000000"/>
              </w:rPr>
              <w:t>Аппараты слуховые</w:t>
            </w:r>
          </w:p>
        </w:tc>
        <w:tc>
          <w:tcPr>
            <w:tcW w:w="946" w:type="pct"/>
          </w:tcPr>
          <w:p w:rsidR="002A3ACB" w:rsidRPr="0094703B" w:rsidRDefault="002A3ACB" w:rsidP="0030595D">
            <w:pPr>
              <w:jc w:val="both"/>
              <w:rPr>
                <w:rFonts w:eastAsia="Times New Roman"/>
              </w:rPr>
            </w:pPr>
            <w:r w:rsidRPr="00B74534">
              <w:rPr>
                <w:rFonts w:eastAsia="Times New Roman"/>
              </w:rPr>
              <w:t xml:space="preserve">Максимальный ВУЗД </w:t>
            </w:r>
            <w:r w:rsidRPr="0094703B">
              <w:rPr>
                <w:rFonts w:eastAsia="Times New Roman"/>
              </w:rPr>
              <w:t>90</w:t>
            </w:r>
          </w:p>
          <w:p w:rsidR="002A3ACB" w:rsidRPr="0094703B" w:rsidRDefault="002A3ACB" w:rsidP="0030595D">
            <w:pPr>
              <w:jc w:val="both"/>
              <w:rPr>
                <w:rFonts w:eastAsia="Times New Roman"/>
              </w:rPr>
            </w:pPr>
          </w:p>
        </w:tc>
        <w:tc>
          <w:tcPr>
            <w:tcW w:w="945" w:type="pct"/>
          </w:tcPr>
          <w:p w:rsidR="002A3ACB" w:rsidRPr="0094703B" w:rsidRDefault="002A3ACB" w:rsidP="0030595D">
            <w:pPr>
              <w:jc w:val="both"/>
              <w:rPr>
                <w:rFonts w:eastAsia="Times New Roman"/>
              </w:rPr>
            </w:pPr>
            <w:r w:rsidRPr="0094703B">
              <w:rPr>
                <w:rFonts w:eastAsia="Times New Roman"/>
              </w:rPr>
              <w:t xml:space="preserve">Не менее </w:t>
            </w:r>
            <w:r>
              <w:rPr>
                <w:rFonts w:eastAsia="Times New Roman"/>
              </w:rPr>
              <w:t>133 дБ (включительно)</w:t>
            </w:r>
          </w:p>
        </w:tc>
        <w:tc>
          <w:tcPr>
            <w:tcW w:w="608" w:type="pct"/>
            <w:vMerge w:val="restart"/>
          </w:tcPr>
          <w:p w:rsidR="002A3ACB" w:rsidRPr="0094703B" w:rsidRDefault="002A3ACB" w:rsidP="0030595D">
            <w:pPr>
              <w:widowControl w:val="0"/>
              <w:jc w:val="both"/>
              <w:rPr>
                <w:rFonts w:eastAsia="Times New Roman"/>
              </w:rPr>
            </w:pPr>
            <w:r w:rsidRPr="0094703B">
              <w:rPr>
                <w:rFonts w:eastAsia="Times New Roman"/>
              </w:rPr>
              <w:t>Методические рекомендации</w:t>
            </w:r>
            <w:r>
              <w:rPr>
                <w:rFonts w:eastAsia="Times New Roman"/>
              </w:rPr>
              <w:t xml:space="preserve"> </w:t>
            </w:r>
          </w:p>
        </w:tc>
        <w:tc>
          <w:tcPr>
            <w:tcW w:w="542" w:type="pct"/>
            <w:vMerge w:val="restart"/>
          </w:tcPr>
          <w:p w:rsidR="002A3ACB" w:rsidRPr="0094703B" w:rsidRDefault="002A3ACB" w:rsidP="0030595D">
            <w:pPr>
              <w:widowControl w:val="0"/>
              <w:jc w:val="both"/>
              <w:rPr>
                <w:rFonts w:eastAsia="Times New Roman"/>
              </w:rPr>
            </w:pPr>
            <w:r>
              <w:rPr>
                <w:rFonts w:eastAsia="Times New Roman"/>
              </w:rPr>
              <w:t>200</w:t>
            </w:r>
          </w:p>
        </w:tc>
      </w:tr>
      <w:tr w:rsidR="002A3ACB" w:rsidRPr="00B74534" w:rsidTr="00B453F9">
        <w:trPr>
          <w:trHeight w:val="694"/>
        </w:trPr>
        <w:tc>
          <w:tcPr>
            <w:tcW w:w="276" w:type="pct"/>
            <w:vMerge/>
          </w:tcPr>
          <w:p w:rsidR="002A3ACB" w:rsidRPr="0094703B" w:rsidRDefault="002A3ACB" w:rsidP="0030595D">
            <w:pPr>
              <w:widowControl w:val="0"/>
              <w:jc w:val="both"/>
              <w:rPr>
                <w:rFonts w:eastAsia="Times New Roman"/>
              </w:rPr>
            </w:pPr>
          </w:p>
        </w:tc>
        <w:tc>
          <w:tcPr>
            <w:tcW w:w="737" w:type="pct"/>
            <w:vMerge/>
          </w:tcPr>
          <w:p w:rsidR="002A3ACB" w:rsidRPr="00B74534" w:rsidRDefault="002A3ACB" w:rsidP="0030595D">
            <w:pPr>
              <w:jc w:val="both"/>
              <w:rPr>
                <w:rFonts w:eastAsia="Times New Roman"/>
              </w:rPr>
            </w:pPr>
          </w:p>
        </w:tc>
        <w:tc>
          <w:tcPr>
            <w:tcW w:w="945" w:type="pct"/>
            <w:vMerge/>
          </w:tcPr>
          <w:p w:rsidR="002A3ACB" w:rsidRPr="0094703B" w:rsidRDefault="002A3ACB" w:rsidP="0030595D">
            <w:pPr>
              <w:jc w:val="both"/>
              <w:rPr>
                <w:rFonts w:eastAsia="Times New Roman"/>
              </w:rPr>
            </w:pPr>
          </w:p>
        </w:tc>
        <w:tc>
          <w:tcPr>
            <w:tcW w:w="946" w:type="pct"/>
          </w:tcPr>
          <w:p w:rsidR="002A3ACB" w:rsidRPr="0094703B" w:rsidRDefault="002A3ACB" w:rsidP="0030595D">
            <w:pPr>
              <w:jc w:val="both"/>
              <w:rPr>
                <w:rFonts w:eastAsia="Times New Roman"/>
              </w:rPr>
            </w:pPr>
            <w:r w:rsidRPr="0094703B">
              <w:rPr>
                <w:rFonts w:eastAsia="Times New Roman"/>
              </w:rPr>
              <w:t>Максимальное усиление</w:t>
            </w:r>
          </w:p>
        </w:tc>
        <w:tc>
          <w:tcPr>
            <w:tcW w:w="945" w:type="pct"/>
          </w:tcPr>
          <w:p w:rsidR="002A3ACB" w:rsidRPr="0094703B" w:rsidRDefault="002A3ACB" w:rsidP="0030595D">
            <w:pPr>
              <w:jc w:val="both"/>
              <w:rPr>
                <w:rFonts w:eastAsia="Times New Roman"/>
              </w:rPr>
            </w:pPr>
            <w:r>
              <w:rPr>
                <w:rFonts w:eastAsia="Times New Roman"/>
              </w:rPr>
              <w:t>Не менее 71</w:t>
            </w:r>
            <w:r w:rsidRPr="0094703B">
              <w:rPr>
                <w:rFonts w:eastAsia="Times New Roman"/>
              </w:rPr>
              <w:t xml:space="preserve"> дБ</w:t>
            </w:r>
            <w:r>
              <w:rPr>
                <w:rFonts w:eastAsia="Times New Roman"/>
              </w:rPr>
              <w:t xml:space="preserve"> </w:t>
            </w:r>
            <w:r w:rsidRPr="0094703B">
              <w:rPr>
                <w:rFonts w:eastAsia="Times New Roman"/>
                <w:color w:val="000000"/>
              </w:rPr>
              <w:t>(включительно)</w:t>
            </w:r>
          </w:p>
          <w:p w:rsidR="002A3ACB" w:rsidRPr="0094703B" w:rsidRDefault="002A3ACB" w:rsidP="0030595D">
            <w:pPr>
              <w:jc w:val="both"/>
              <w:rPr>
                <w:rFonts w:eastAsia="Times New Roman"/>
              </w:rPr>
            </w:pPr>
          </w:p>
        </w:tc>
        <w:tc>
          <w:tcPr>
            <w:tcW w:w="608" w:type="pct"/>
            <w:vMerge/>
          </w:tcPr>
          <w:p w:rsidR="002A3ACB" w:rsidRPr="0094703B" w:rsidRDefault="002A3ACB" w:rsidP="0030595D">
            <w:pPr>
              <w:widowControl w:val="0"/>
              <w:jc w:val="both"/>
              <w:rPr>
                <w:rFonts w:eastAsia="Times New Roman"/>
              </w:rPr>
            </w:pPr>
          </w:p>
        </w:tc>
        <w:tc>
          <w:tcPr>
            <w:tcW w:w="542" w:type="pct"/>
            <w:vMerge/>
          </w:tcPr>
          <w:p w:rsidR="002A3ACB" w:rsidRPr="0094703B" w:rsidRDefault="002A3ACB" w:rsidP="0030595D">
            <w:pPr>
              <w:widowControl w:val="0"/>
              <w:jc w:val="both"/>
              <w:rPr>
                <w:rFonts w:eastAsia="Times New Roman"/>
              </w:rPr>
            </w:pPr>
          </w:p>
        </w:tc>
      </w:tr>
      <w:tr w:rsidR="002A3ACB" w:rsidRPr="00B74534" w:rsidTr="00B453F9">
        <w:trPr>
          <w:trHeight w:val="742"/>
        </w:trPr>
        <w:tc>
          <w:tcPr>
            <w:tcW w:w="276" w:type="pct"/>
            <w:vMerge w:val="restart"/>
          </w:tcPr>
          <w:p w:rsidR="002A3ACB" w:rsidRPr="0094703B" w:rsidRDefault="002A3ACB" w:rsidP="0030595D">
            <w:pPr>
              <w:widowControl w:val="0"/>
              <w:jc w:val="both"/>
              <w:rPr>
                <w:rFonts w:eastAsia="Times New Roman"/>
              </w:rPr>
            </w:pPr>
            <w:r w:rsidRPr="0094703B">
              <w:rPr>
                <w:rFonts w:eastAsia="Times New Roman"/>
              </w:rPr>
              <w:t>4</w:t>
            </w:r>
          </w:p>
        </w:tc>
        <w:tc>
          <w:tcPr>
            <w:tcW w:w="737" w:type="pct"/>
            <w:vMerge w:val="restart"/>
          </w:tcPr>
          <w:p w:rsidR="002A3ACB" w:rsidRPr="00AA02C9" w:rsidRDefault="002A3ACB" w:rsidP="0030595D">
            <w:pPr>
              <w:jc w:val="both"/>
              <w:rPr>
                <w:rFonts w:eastAsia="Times New Roman"/>
                <w:color w:val="000000"/>
              </w:rPr>
            </w:pPr>
            <w:r w:rsidRPr="00AA02C9">
              <w:rPr>
                <w:color w:val="000000"/>
              </w:rPr>
              <w:t xml:space="preserve">Аппарат слуховой заушный воздушной проводимости </w:t>
            </w:r>
          </w:p>
        </w:tc>
        <w:tc>
          <w:tcPr>
            <w:tcW w:w="945" w:type="pct"/>
            <w:vMerge w:val="restart"/>
          </w:tcPr>
          <w:p w:rsidR="002A3ACB" w:rsidRPr="0094703B" w:rsidRDefault="00B453F9" w:rsidP="005F099C">
            <w:pPr>
              <w:rPr>
                <w:rFonts w:eastAsia="Times New Roman"/>
                <w:color w:val="000000"/>
              </w:rPr>
            </w:pPr>
            <w:r>
              <w:rPr>
                <w:rFonts w:eastAsia="Times New Roman"/>
                <w:color w:val="000000"/>
              </w:rPr>
              <w:t>Аппараты слуховые</w:t>
            </w:r>
            <w:bookmarkStart w:id="0" w:name="_GoBack"/>
            <w:bookmarkEnd w:id="0"/>
          </w:p>
        </w:tc>
        <w:tc>
          <w:tcPr>
            <w:tcW w:w="946" w:type="pct"/>
          </w:tcPr>
          <w:p w:rsidR="002A3ACB" w:rsidRPr="0094703B" w:rsidRDefault="002A3ACB" w:rsidP="0030595D">
            <w:pPr>
              <w:jc w:val="both"/>
              <w:rPr>
                <w:rFonts w:eastAsia="Times New Roman"/>
              </w:rPr>
            </w:pPr>
            <w:r w:rsidRPr="00B74534">
              <w:rPr>
                <w:rFonts w:eastAsia="Times New Roman"/>
              </w:rPr>
              <w:t xml:space="preserve">Максимальный ВУЗД </w:t>
            </w:r>
            <w:r w:rsidRPr="0094703B">
              <w:rPr>
                <w:rFonts w:eastAsia="Times New Roman"/>
              </w:rPr>
              <w:t>90</w:t>
            </w:r>
          </w:p>
          <w:p w:rsidR="002A3ACB" w:rsidRPr="0094703B" w:rsidRDefault="002A3ACB" w:rsidP="0030595D">
            <w:pPr>
              <w:jc w:val="both"/>
              <w:rPr>
                <w:rFonts w:eastAsia="Times New Roman"/>
              </w:rPr>
            </w:pPr>
          </w:p>
        </w:tc>
        <w:tc>
          <w:tcPr>
            <w:tcW w:w="945" w:type="pct"/>
          </w:tcPr>
          <w:p w:rsidR="002A3ACB" w:rsidRPr="0094703B" w:rsidRDefault="002A3ACB" w:rsidP="0030595D">
            <w:pPr>
              <w:jc w:val="both"/>
              <w:rPr>
                <w:rFonts w:eastAsia="Times New Roman"/>
              </w:rPr>
            </w:pPr>
            <w:r w:rsidRPr="0094703B">
              <w:rPr>
                <w:rFonts w:eastAsia="Times New Roman"/>
              </w:rPr>
              <w:t xml:space="preserve">Не менее </w:t>
            </w:r>
            <w:r>
              <w:rPr>
                <w:rFonts w:eastAsia="Times New Roman"/>
              </w:rPr>
              <w:t>141 дБ (включительно)</w:t>
            </w:r>
          </w:p>
        </w:tc>
        <w:tc>
          <w:tcPr>
            <w:tcW w:w="608" w:type="pct"/>
            <w:vMerge w:val="restart"/>
          </w:tcPr>
          <w:p w:rsidR="002A3ACB" w:rsidRPr="0094703B" w:rsidRDefault="002A3ACB" w:rsidP="0030595D">
            <w:pPr>
              <w:widowControl w:val="0"/>
              <w:jc w:val="both"/>
              <w:rPr>
                <w:rFonts w:eastAsia="Times New Roman"/>
              </w:rPr>
            </w:pPr>
            <w:r w:rsidRPr="0094703B">
              <w:rPr>
                <w:rFonts w:eastAsia="Times New Roman"/>
              </w:rPr>
              <w:t>Методические рекомендаци</w:t>
            </w:r>
            <w:r>
              <w:rPr>
                <w:rFonts w:eastAsia="Times New Roman"/>
              </w:rPr>
              <w:t>и,</w:t>
            </w:r>
            <w:r w:rsidRPr="0094703B">
              <w:rPr>
                <w:rFonts w:eastAsia="Times New Roman"/>
              </w:rPr>
              <w:t xml:space="preserve"> </w:t>
            </w:r>
          </w:p>
        </w:tc>
        <w:tc>
          <w:tcPr>
            <w:tcW w:w="542" w:type="pct"/>
            <w:vMerge w:val="restart"/>
          </w:tcPr>
          <w:p w:rsidR="002A3ACB" w:rsidRPr="0094703B" w:rsidRDefault="002A3ACB" w:rsidP="0030595D">
            <w:pPr>
              <w:widowControl w:val="0"/>
              <w:jc w:val="both"/>
              <w:rPr>
                <w:rFonts w:eastAsia="Times New Roman"/>
              </w:rPr>
            </w:pPr>
            <w:r>
              <w:rPr>
                <w:rFonts w:eastAsia="Times New Roman"/>
              </w:rPr>
              <w:t>125</w:t>
            </w:r>
          </w:p>
        </w:tc>
      </w:tr>
      <w:tr w:rsidR="002A3ACB" w:rsidRPr="00B74534" w:rsidTr="00B453F9">
        <w:trPr>
          <w:trHeight w:val="742"/>
        </w:trPr>
        <w:tc>
          <w:tcPr>
            <w:tcW w:w="276" w:type="pct"/>
            <w:vMerge/>
          </w:tcPr>
          <w:p w:rsidR="002A3ACB" w:rsidRPr="0094703B" w:rsidRDefault="002A3ACB" w:rsidP="0030595D">
            <w:pPr>
              <w:widowControl w:val="0"/>
              <w:jc w:val="both"/>
              <w:rPr>
                <w:rFonts w:eastAsia="Times New Roman"/>
              </w:rPr>
            </w:pPr>
          </w:p>
        </w:tc>
        <w:tc>
          <w:tcPr>
            <w:tcW w:w="737" w:type="pct"/>
            <w:vMerge/>
          </w:tcPr>
          <w:p w:rsidR="002A3ACB" w:rsidRPr="00B74534" w:rsidRDefault="002A3ACB" w:rsidP="0030595D">
            <w:pPr>
              <w:jc w:val="both"/>
              <w:rPr>
                <w:rFonts w:eastAsia="Times New Roman"/>
              </w:rPr>
            </w:pPr>
          </w:p>
        </w:tc>
        <w:tc>
          <w:tcPr>
            <w:tcW w:w="945" w:type="pct"/>
            <w:vMerge/>
          </w:tcPr>
          <w:p w:rsidR="002A3ACB" w:rsidRPr="0094703B" w:rsidRDefault="002A3ACB" w:rsidP="0030595D">
            <w:pPr>
              <w:jc w:val="both"/>
              <w:rPr>
                <w:rFonts w:eastAsia="Times New Roman"/>
              </w:rPr>
            </w:pPr>
          </w:p>
        </w:tc>
        <w:tc>
          <w:tcPr>
            <w:tcW w:w="946" w:type="pct"/>
          </w:tcPr>
          <w:p w:rsidR="002A3ACB" w:rsidRPr="0094703B" w:rsidRDefault="002A3ACB" w:rsidP="0030595D">
            <w:pPr>
              <w:jc w:val="both"/>
              <w:rPr>
                <w:rFonts w:eastAsia="Times New Roman"/>
              </w:rPr>
            </w:pPr>
            <w:r w:rsidRPr="0094703B">
              <w:rPr>
                <w:rFonts w:eastAsia="Times New Roman"/>
              </w:rPr>
              <w:t>Максимальное усиление</w:t>
            </w:r>
          </w:p>
        </w:tc>
        <w:tc>
          <w:tcPr>
            <w:tcW w:w="945" w:type="pct"/>
          </w:tcPr>
          <w:p w:rsidR="002A3ACB" w:rsidRPr="0094703B" w:rsidRDefault="002A3ACB" w:rsidP="0030595D">
            <w:pPr>
              <w:jc w:val="both"/>
              <w:rPr>
                <w:rFonts w:eastAsia="Times New Roman"/>
              </w:rPr>
            </w:pPr>
            <w:r>
              <w:rPr>
                <w:rFonts w:eastAsia="Times New Roman"/>
              </w:rPr>
              <w:t>Не менее 82</w:t>
            </w:r>
            <w:r w:rsidRPr="0094703B">
              <w:rPr>
                <w:rFonts w:eastAsia="Times New Roman"/>
              </w:rPr>
              <w:t xml:space="preserve"> дБ</w:t>
            </w:r>
          </w:p>
          <w:p w:rsidR="002A3ACB" w:rsidRPr="0094703B" w:rsidRDefault="002A3ACB" w:rsidP="0030595D">
            <w:pPr>
              <w:jc w:val="both"/>
              <w:rPr>
                <w:rFonts w:eastAsia="Times New Roman"/>
              </w:rPr>
            </w:pPr>
          </w:p>
          <w:p w:rsidR="002A3ACB" w:rsidRPr="0094703B" w:rsidRDefault="002A3ACB" w:rsidP="0030595D">
            <w:pPr>
              <w:jc w:val="both"/>
              <w:rPr>
                <w:rFonts w:eastAsia="Times New Roman"/>
              </w:rPr>
            </w:pPr>
          </w:p>
        </w:tc>
        <w:tc>
          <w:tcPr>
            <w:tcW w:w="608" w:type="pct"/>
            <w:vMerge/>
          </w:tcPr>
          <w:p w:rsidR="002A3ACB" w:rsidRPr="0094703B" w:rsidRDefault="002A3ACB" w:rsidP="0030595D">
            <w:pPr>
              <w:widowControl w:val="0"/>
              <w:jc w:val="both"/>
              <w:rPr>
                <w:rFonts w:eastAsia="Times New Roman"/>
              </w:rPr>
            </w:pPr>
          </w:p>
        </w:tc>
        <w:tc>
          <w:tcPr>
            <w:tcW w:w="542" w:type="pct"/>
            <w:vMerge/>
          </w:tcPr>
          <w:p w:rsidR="002A3ACB" w:rsidRPr="0094703B" w:rsidRDefault="002A3ACB" w:rsidP="0030595D">
            <w:pPr>
              <w:widowControl w:val="0"/>
              <w:jc w:val="both"/>
              <w:rPr>
                <w:rFonts w:eastAsia="Times New Roman"/>
              </w:rPr>
            </w:pPr>
          </w:p>
        </w:tc>
      </w:tr>
      <w:tr w:rsidR="002A3ACB" w:rsidRPr="00B74534" w:rsidTr="0030595D">
        <w:trPr>
          <w:trHeight w:val="742"/>
        </w:trPr>
        <w:tc>
          <w:tcPr>
            <w:tcW w:w="4458" w:type="pct"/>
            <w:gridSpan w:val="6"/>
          </w:tcPr>
          <w:p w:rsidR="002A3ACB" w:rsidRPr="0094703B" w:rsidRDefault="002A3ACB" w:rsidP="0030595D">
            <w:pPr>
              <w:widowControl w:val="0"/>
              <w:jc w:val="right"/>
              <w:rPr>
                <w:rFonts w:eastAsia="Times New Roman"/>
              </w:rPr>
            </w:pPr>
            <w:r>
              <w:rPr>
                <w:rFonts w:eastAsia="Times New Roman"/>
              </w:rPr>
              <w:t>Итого</w:t>
            </w:r>
          </w:p>
        </w:tc>
        <w:tc>
          <w:tcPr>
            <w:tcW w:w="542" w:type="pct"/>
          </w:tcPr>
          <w:p w:rsidR="002A3ACB" w:rsidRPr="0094703B" w:rsidRDefault="002A3ACB" w:rsidP="0030595D">
            <w:pPr>
              <w:widowControl w:val="0"/>
              <w:jc w:val="both"/>
              <w:rPr>
                <w:rFonts w:eastAsia="Times New Roman"/>
              </w:rPr>
            </w:pPr>
            <w:r>
              <w:rPr>
                <w:rFonts w:eastAsia="Times New Roman"/>
              </w:rPr>
              <w:fldChar w:fldCharType="begin"/>
            </w:r>
            <w:r>
              <w:rPr>
                <w:rFonts w:eastAsia="Times New Roman"/>
              </w:rPr>
              <w:instrText xml:space="preserve"> =SUM(ABOVE) </w:instrText>
            </w:r>
            <w:r>
              <w:rPr>
                <w:rFonts w:eastAsia="Times New Roman"/>
              </w:rPr>
              <w:fldChar w:fldCharType="separate"/>
            </w:r>
            <w:r>
              <w:rPr>
                <w:rFonts w:eastAsia="Times New Roman"/>
                <w:noProof/>
              </w:rPr>
              <w:t>600</w:t>
            </w:r>
            <w:r>
              <w:rPr>
                <w:rFonts w:eastAsia="Times New Roman"/>
              </w:rPr>
              <w:fldChar w:fldCharType="end"/>
            </w:r>
          </w:p>
        </w:tc>
      </w:tr>
    </w:tbl>
    <w:p w:rsidR="002A3ACB" w:rsidRDefault="002A3ACB" w:rsidP="002A3ACB">
      <w:pPr>
        <w:jc w:val="both"/>
        <w:rPr>
          <w:rFonts w:eastAsia="Times New Roman"/>
          <w:bCs/>
        </w:rPr>
      </w:pPr>
    </w:p>
    <w:p w:rsidR="002A3ACB" w:rsidRPr="009E7024" w:rsidRDefault="002A3ACB" w:rsidP="002A3ACB">
      <w:pPr>
        <w:pStyle w:val="2"/>
        <w:shd w:val="clear" w:color="auto" w:fill="FFFFFF"/>
        <w:spacing w:before="0" w:after="0" w:line="276" w:lineRule="auto"/>
        <w:ind w:left="-426"/>
        <w:jc w:val="both"/>
        <w:textAlignment w:val="baseline"/>
        <w:rPr>
          <w:rFonts w:ascii="Times New Roman" w:hAnsi="Times New Roman"/>
          <w:b w:val="0"/>
          <w:i w:val="0"/>
          <w:sz w:val="24"/>
          <w:szCs w:val="24"/>
          <w:lang w:eastAsia="ar-SA"/>
        </w:rPr>
      </w:pPr>
      <w:r>
        <w:rPr>
          <w:rFonts w:ascii="Times New Roman" w:hAnsi="Times New Roman"/>
          <w:b w:val="0"/>
          <w:i w:val="0"/>
          <w:sz w:val="24"/>
          <w:szCs w:val="24"/>
          <w:lang w:val="ru-RU" w:eastAsia="ar-SA"/>
        </w:rPr>
        <w:t xml:space="preserve">1.6. </w:t>
      </w:r>
      <w:r w:rsidRPr="009E7024">
        <w:rPr>
          <w:rFonts w:ascii="Times New Roman" w:hAnsi="Times New Roman"/>
          <w:b w:val="0"/>
          <w:i w:val="0"/>
          <w:sz w:val="24"/>
          <w:szCs w:val="24"/>
          <w:lang w:eastAsia="ar-SA"/>
        </w:rPr>
        <w:t>Гарантийный ремонт Изделия осуществляется в период гарантийного срока.</w:t>
      </w:r>
    </w:p>
    <w:p w:rsidR="002A3ACB" w:rsidRPr="00F34755" w:rsidRDefault="002A3ACB" w:rsidP="002A3ACB">
      <w:pPr>
        <w:ind w:left="-426"/>
        <w:jc w:val="both"/>
      </w:pPr>
      <w:r w:rsidRPr="00F34755">
        <w:rPr>
          <w:lang w:eastAsia="ar-SA"/>
        </w:rPr>
        <w:t xml:space="preserve">Гарантийная замена Изделия и доставка Изделия после гарантийного ремонта производится Поставщиком по месту жительства Получателя либо по адресу </w:t>
      </w:r>
      <w:r w:rsidRPr="00F34755">
        <w:t>пункта (пунктов) приема Получателей</w:t>
      </w:r>
      <w:r w:rsidRPr="00F34755">
        <w:rPr>
          <w:lang w:eastAsia="ar-SA"/>
        </w:rPr>
        <w:t>, указанного в гарантийном талоне.</w:t>
      </w:r>
      <w:r>
        <w:rPr>
          <w:lang w:eastAsia="ar-SA"/>
        </w:rPr>
        <w:t xml:space="preserve"> Гарантия Поставщика – не менее 12 месяцев с момента получения Изделия Получателем. Срок выполнения гарантийного ремонта, либо замены Изделия с дня обращения Получателя не должна превышать 15 рабочих дней. Обеспечение возможности ремонта, устранения недостатков Изделия осуществляется в соответствии с Законом Российской Федерации от 07.02.1992 № 2300-1 </w:t>
      </w:r>
      <w:r w:rsidRPr="00461C43">
        <w:rPr>
          <w:rFonts w:ascii="Times New Roman CYR" w:eastAsia="Times New Roman" w:hAnsi="Times New Roman CYR" w:cs="Times New Roman CYR"/>
        </w:rPr>
        <w:t>«О защите прав потребителей»</w:t>
      </w:r>
      <w:r>
        <w:rPr>
          <w:rFonts w:ascii="Times New Roman CYR" w:eastAsia="Times New Roman" w:hAnsi="Times New Roman CYR" w:cs="Times New Roman CYR"/>
        </w:rPr>
        <w:t xml:space="preserve">. В случае невозможности осуществления ремонта Изделий в период гарантийного срока Поставщик должен осуществить замену такого Изделия. </w:t>
      </w:r>
      <w:r w:rsidRPr="00F34755">
        <w:t xml:space="preserve">В связи с тем, что передача Изделий осуществляется непосредственно Получателю, Поставщик должен вместе с Изделием передать Получателю гарантийный талон или иной документ, содержащий сведения, необходимые для обращения к </w:t>
      </w:r>
      <w:r w:rsidRPr="00F34755">
        <w:lastRenderedPageBreak/>
        <w:t>Поставщику по вопросам гарантийного ремонта (замены) Изделия, а также содержащий адрес (адреса) и режим работы пункта (пунктов) приема Получателей.</w:t>
      </w:r>
    </w:p>
    <w:p w:rsidR="002A3ACB" w:rsidRDefault="002A3ACB" w:rsidP="002A3ACB">
      <w:pPr>
        <w:ind w:left="-426"/>
        <w:jc w:val="both"/>
      </w:pPr>
      <w:r w:rsidRPr="00F34755">
        <w:t>Прием Получателей по вопросам, касающимся выдачи и гарантийного ремонта Изделий, осуществляется Поставщиком по месту нахождения организованных Поставщиком пункт</w:t>
      </w:r>
      <w:r>
        <w:t>ов</w:t>
      </w:r>
      <w:r w:rsidRPr="00F34755">
        <w:t xml:space="preserve"> приема (не менее 1 (одного)) на территории Санкт-Петербурга.</w:t>
      </w:r>
    </w:p>
    <w:p w:rsidR="002A3ACB" w:rsidRDefault="002A3ACB" w:rsidP="002A3ACB">
      <w:pPr>
        <w:ind w:left="-426"/>
        <w:jc w:val="both"/>
      </w:pPr>
    </w:p>
    <w:p w:rsidR="002A3ACB" w:rsidRDefault="002A3ACB" w:rsidP="002A3ACB">
      <w:pPr>
        <w:ind w:left="-426"/>
        <w:jc w:val="both"/>
        <w:rPr>
          <w:rFonts w:eastAsia="Times New Roman"/>
          <w:b/>
        </w:rPr>
      </w:pPr>
      <w:r w:rsidRPr="007B5DA2">
        <w:rPr>
          <w:rFonts w:eastAsia="Times New Roman"/>
          <w:b/>
        </w:rPr>
        <w:t>2. Поставщик обязан</w:t>
      </w:r>
    </w:p>
    <w:p w:rsidR="002A3ACB" w:rsidRPr="007B5DA2" w:rsidRDefault="002A3ACB" w:rsidP="002A3ACB">
      <w:pPr>
        <w:ind w:left="-426"/>
        <w:jc w:val="both"/>
        <w:rPr>
          <w:rFonts w:eastAsia="Times New Roman"/>
          <w:b/>
        </w:rPr>
      </w:pPr>
      <w:r w:rsidRPr="00EC5407">
        <w:rPr>
          <w:lang w:eastAsia="ar-SA"/>
        </w:rPr>
        <w:t xml:space="preserve">2.1. Поставить </w:t>
      </w:r>
      <w:r w:rsidRPr="00EC5407">
        <w:t>Изделия</w:t>
      </w:r>
      <w:r>
        <w:t xml:space="preserve"> </w:t>
      </w:r>
      <w:r w:rsidRPr="00EC5407">
        <w:t>для Получател</w:t>
      </w:r>
      <w:r>
        <w:t>ей. Изделие должно иметь действующее регистрационное удостоверение, выданное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оформленную в соответствии с законодательством Российской Федерации. В случае если ранее (в соответствии с нормативными правовыми актами Российской Федерации) Изделие подлежало обязательной сертификации, допускается поставка Изделия, имеющего действующий сертификат соответствия.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2A3ACB" w:rsidRPr="00EC5407" w:rsidRDefault="002A3ACB" w:rsidP="002A3ACB">
      <w:pPr>
        <w:ind w:left="-426"/>
        <w:jc w:val="both"/>
      </w:pPr>
      <w:r w:rsidRPr="00EC5407">
        <w:rPr>
          <w:lang w:eastAsia="ar-SA"/>
        </w:rPr>
        <w:t>2.2. Осуществлять поставку путем передачи Изделий Получателям или их представителям при представлении им</w:t>
      </w:r>
      <w:r>
        <w:rPr>
          <w:lang w:eastAsia="ar-SA"/>
        </w:rPr>
        <w:t>и</w:t>
      </w:r>
      <w:r w:rsidRPr="00EC5407">
        <w:rPr>
          <w:lang w:eastAsia="ar-SA"/>
        </w:rPr>
        <w:t xml:space="preserve">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EC5407">
        <w:t xml:space="preserve"> выдаваемого Заказчиком, подписанного уполномоченным на дату выдачи направления лицом Заказчика.</w:t>
      </w:r>
    </w:p>
    <w:p w:rsidR="002A3ACB" w:rsidRPr="00EC5407" w:rsidRDefault="002A3ACB" w:rsidP="002A3ACB">
      <w:pPr>
        <w:ind w:left="-426"/>
        <w:jc w:val="both"/>
      </w:pPr>
      <w:r w:rsidRPr="00EC5407">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2A3ACB" w:rsidRPr="00EC5407" w:rsidRDefault="002A3ACB" w:rsidP="002A3ACB">
      <w:pPr>
        <w:spacing w:line="240" w:lineRule="atLeast"/>
        <w:ind w:left="-426"/>
        <w:jc w:val="both"/>
        <w:rPr>
          <w:lang w:eastAsia="ar-SA"/>
        </w:rPr>
      </w:pPr>
      <w:r w:rsidRPr="00EC5407">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2A3ACB" w:rsidRPr="00EC5407" w:rsidRDefault="002A3ACB" w:rsidP="002A3ACB">
      <w:pPr>
        <w:suppressAutoHyphens/>
        <w:ind w:left="-426"/>
        <w:jc w:val="both"/>
        <w:rPr>
          <w:lang w:eastAsia="ar-SA"/>
        </w:rPr>
      </w:pPr>
      <w:r w:rsidRPr="00EC5407">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2A3ACB" w:rsidRPr="00EC5407" w:rsidRDefault="002A3ACB" w:rsidP="002A3ACB">
      <w:pPr>
        <w:ind w:left="-426"/>
        <w:jc w:val="both"/>
      </w:pPr>
      <w:r w:rsidRPr="00EC5407">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2A3ACB" w:rsidRPr="00EC5407" w:rsidRDefault="002A3ACB" w:rsidP="002A3ACB">
      <w:pPr>
        <w:widowControl w:val="0"/>
        <w:ind w:left="-426"/>
        <w:jc w:val="both"/>
        <w:rPr>
          <w:bCs/>
        </w:rPr>
      </w:pPr>
      <w:r w:rsidRPr="00EC5407">
        <w:t>2.3. Обеспечить возможность выдачи Изделий со дня, следующего за днем заключения государственного контракта.</w:t>
      </w:r>
      <w:r>
        <w:t xml:space="preserve"> Осуществлять поставку путем передачи Изделий, включая все его принадлежности: стандартный ушной вкладыш – 1 штука, футляр, комплект элементов питания, паспорт Изделия, инструкцию по эксплуатации Изделия.</w:t>
      </w:r>
    </w:p>
    <w:p w:rsidR="002A3ACB" w:rsidRPr="00EC5407" w:rsidRDefault="002A3ACB" w:rsidP="002A3ACB">
      <w:pPr>
        <w:ind w:left="-426"/>
        <w:jc w:val="both"/>
      </w:pPr>
      <w:r w:rsidRPr="00EC5407">
        <w:t>2.4. Давать справки Получателям по вопросам, связанным с поставкой Изделий. Для звонков Получателей должен быть выделен телефонный номер</w:t>
      </w:r>
      <w:r>
        <w:t xml:space="preserve">, указанный в приложении к государственному контракту. </w:t>
      </w:r>
      <w:r w:rsidRPr="00EC5407">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2A3ACB" w:rsidRPr="00EC5407" w:rsidRDefault="002A3ACB" w:rsidP="002A3ACB">
      <w:pPr>
        <w:ind w:left="-426"/>
        <w:jc w:val="both"/>
      </w:pPr>
      <w:r w:rsidRPr="00EC5407">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2A3ACB" w:rsidRPr="00EC5407" w:rsidRDefault="002A3ACB" w:rsidP="002A3ACB">
      <w:pPr>
        <w:ind w:left="-426"/>
        <w:jc w:val="both"/>
      </w:pPr>
      <w:r w:rsidRPr="00EC5407">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2A3ACB" w:rsidRPr="00EC5407" w:rsidRDefault="002A3ACB" w:rsidP="002A3ACB">
      <w:pPr>
        <w:ind w:left="-426"/>
        <w:jc w:val="both"/>
      </w:pPr>
      <w:r w:rsidRPr="00EC5407">
        <w:lastRenderedPageBreak/>
        <w:t>Предоставлять Заказчику в рамках подтверждения исполнения государственного контракта журнал телефонных звонков.</w:t>
      </w:r>
    </w:p>
    <w:p w:rsidR="002A3ACB" w:rsidRPr="00EC5407" w:rsidRDefault="002A3ACB" w:rsidP="002A3ACB">
      <w:pPr>
        <w:ind w:left="-426"/>
        <w:jc w:val="both"/>
      </w:pPr>
      <w:r w:rsidRPr="00EC5407">
        <w:t xml:space="preserve">2.6. Давать справки Получателям по вопросам, связанным с поставкой Изделий, в часы работы пунктов приема. </w:t>
      </w:r>
    </w:p>
    <w:p w:rsidR="002A3ACB" w:rsidRPr="00EC5407" w:rsidRDefault="002A3ACB" w:rsidP="002A3ACB">
      <w:pPr>
        <w:ind w:left="-426"/>
        <w:jc w:val="both"/>
      </w:pPr>
      <w:r w:rsidRPr="00EC5407">
        <w:t>2.7. При приеме-передаче Изделия осуществить его распаковку, приведение в товарный вид. Провести инструктаж Получателя об условиях и требованиях к эксплуатации Изделия.</w:t>
      </w:r>
    </w:p>
    <w:p w:rsidR="002A3ACB" w:rsidRDefault="002A3ACB" w:rsidP="002A3ACB">
      <w:pPr>
        <w:suppressAutoHyphens/>
        <w:spacing w:line="240" w:lineRule="atLeast"/>
        <w:ind w:left="-426"/>
        <w:jc w:val="both"/>
        <w:rPr>
          <w:b/>
        </w:rPr>
      </w:pPr>
    </w:p>
    <w:p w:rsidR="002A3ACB" w:rsidRPr="00EC5407" w:rsidRDefault="002A3ACB" w:rsidP="002A3ACB">
      <w:pPr>
        <w:suppressAutoHyphens/>
        <w:spacing w:line="240" w:lineRule="atLeast"/>
        <w:ind w:left="-426"/>
        <w:jc w:val="both"/>
        <w:rPr>
          <w:b/>
        </w:rPr>
      </w:pPr>
      <w:r w:rsidRPr="00EC5407">
        <w:rPr>
          <w:b/>
        </w:rPr>
        <w:t>3. Способ поставки:</w:t>
      </w:r>
    </w:p>
    <w:p w:rsidR="002A3ACB" w:rsidRPr="00EC5407" w:rsidRDefault="002A3ACB" w:rsidP="002A3ACB">
      <w:pPr>
        <w:suppressAutoHyphens/>
        <w:spacing w:line="240" w:lineRule="atLeast"/>
        <w:ind w:left="-426"/>
        <w:jc w:val="both"/>
      </w:pPr>
      <w:r w:rsidRPr="00EC5407">
        <w:t xml:space="preserve">3.1. Поставщик передает Изделия Получателям следующими способами: </w:t>
      </w:r>
    </w:p>
    <w:p w:rsidR="002A3ACB" w:rsidRPr="00EC5407" w:rsidRDefault="002A3ACB" w:rsidP="002A3ACB">
      <w:pPr>
        <w:suppressAutoHyphens/>
        <w:spacing w:line="240" w:lineRule="atLeast"/>
        <w:ind w:left="-426"/>
        <w:jc w:val="both"/>
      </w:pPr>
      <w:r w:rsidRPr="00EC5407">
        <w:t xml:space="preserve">- по месту нахождения </w:t>
      </w:r>
      <w:r>
        <w:t>пунктов</w:t>
      </w:r>
      <w:r w:rsidRPr="00EC5407">
        <w:t xml:space="preserve"> приема, организованного Поставщиком, в день обращения Получателя,</w:t>
      </w:r>
    </w:p>
    <w:p w:rsidR="002A3ACB" w:rsidRPr="00EC5407" w:rsidRDefault="002A3ACB" w:rsidP="002A3ACB">
      <w:pPr>
        <w:suppressAutoHyphens/>
        <w:spacing w:line="240" w:lineRule="atLeast"/>
        <w:ind w:left="-426"/>
        <w:jc w:val="both"/>
      </w:pPr>
      <w:r w:rsidRPr="00EC5407">
        <w:t xml:space="preserve">- по месту нахождения Получателя. </w:t>
      </w:r>
    </w:p>
    <w:p w:rsidR="002A3ACB" w:rsidRPr="00EC5407" w:rsidRDefault="002A3ACB" w:rsidP="002A3ACB">
      <w:pPr>
        <w:suppressAutoHyphens/>
        <w:spacing w:line="240" w:lineRule="atLeast"/>
        <w:ind w:left="-426"/>
        <w:jc w:val="both"/>
      </w:pPr>
      <w:r w:rsidRPr="00EC5407">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2A3ACB" w:rsidRDefault="002A3ACB" w:rsidP="002A3ACB">
      <w:pPr>
        <w:suppressAutoHyphens/>
        <w:spacing w:line="240" w:lineRule="atLeast"/>
        <w:ind w:left="-426"/>
        <w:jc w:val="both"/>
      </w:pPr>
      <w:r w:rsidRPr="00EC5407">
        <w:t>3.2.1. Пункт</w:t>
      </w:r>
      <w:r>
        <w:t>ы</w:t>
      </w:r>
      <w:r w:rsidRPr="00EC5407">
        <w:t xml:space="preserve"> приема должны быть организован</w:t>
      </w:r>
      <w:r>
        <w:t>ы</w:t>
      </w:r>
      <w:r w:rsidRPr="00EC5407">
        <w:t xml:space="preserve"> </w:t>
      </w:r>
      <w:r>
        <w:t>на момент</w:t>
      </w:r>
      <w:r w:rsidRPr="00EC5407">
        <w:t xml:space="preserve">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государственного контракта, Поставщик передает Заказчику документы, подтверждающие право Поставщика использовать   помещение   </w:t>
      </w:r>
      <w:r>
        <w:t>пунктов</w:t>
      </w:r>
      <w:r w:rsidRPr="00EC5407">
        <w:t xml:space="preserve"> выдачи</w:t>
      </w:r>
      <w:r>
        <w:t>. А</w:t>
      </w:r>
      <w:r w:rsidRPr="00EC5407">
        <w:t>дрес</w:t>
      </w:r>
      <w:r>
        <w:t>а</w:t>
      </w:r>
      <w:r w:rsidRPr="00EC5407">
        <w:t xml:space="preserve"> и график работы</w:t>
      </w:r>
      <w:r>
        <w:t xml:space="preserve"> пунктов должны быть указаны в приложении к государственному контракт. </w:t>
      </w:r>
    </w:p>
    <w:p w:rsidR="002A3ACB" w:rsidRPr="00EC5407" w:rsidRDefault="002A3ACB" w:rsidP="002A3ACB">
      <w:pPr>
        <w:suppressAutoHyphens/>
        <w:spacing w:line="240" w:lineRule="atLeast"/>
        <w:ind w:left="-426"/>
        <w:jc w:val="both"/>
      </w:pPr>
      <w:r w:rsidRPr="007F2DCB">
        <w:t xml:space="preserve">Количество пунктов приема – не менее </w:t>
      </w:r>
      <w:r>
        <w:t>1</w:t>
      </w:r>
      <w:r w:rsidRPr="007F2DCB">
        <w:t xml:space="preserve"> (</w:t>
      </w:r>
      <w:r>
        <w:t>одного</w:t>
      </w:r>
      <w:r w:rsidRPr="007F2DCB">
        <w:t xml:space="preserve">). </w:t>
      </w:r>
      <w:r w:rsidRPr="00056CCE">
        <w:t>При</w:t>
      </w:r>
      <w:r w:rsidRPr="007F2DCB">
        <w:t xml:space="preserve"> этом </w:t>
      </w:r>
      <w:r>
        <w:t xml:space="preserve">не менее чем один </w:t>
      </w:r>
      <w:r w:rsidRPr="007F2DCB">
        <w:t xml:space="preserve">пункт приема получателей должен быть организован на территории Санкт-Петербурга на расстоянии </w:t>
      </w:r>
      <w:r>
        <w:t xml:space="preserve">шаговой доступности для получателей </w:t>
      </w:r>
      <w:r w:rsidRPr="007F2DCB">
        <w:t>от станции метрополитена</w:t>
      </w:r>
      <w:r>
        <w:t xml:space="preserve"> (п</w:t>
      </w:r>
      <w:r w:rsidRPr="00D140C4">
        <w:t xml:space="preserve">од </w:t>
      </w:r>
      <w:r>
        <w:t>шаговой</w:t>
      </w:r>
      <w:r w:rsidRPr="00D140C4">
        <w:t xml:space="preserve"> доступностью, в силу п.11.24. СП 42.13330.2016. Свод правил. Градостроительство. Планировка и застройка городских и сельских поселений. Актуализированная редакция СНиП 2.07.01-89 принимается расстояние в 500 метров</w:t>
      </w:r>
      <w:r>
        <w:t>)</w:t>
      </w:r>
      <w:r w:rsidRPr="00D140C4">
        <w:t>.</w:t>
      </w:r>
      <w:r w:rsidRPr="001C7450">
        <w:t xml:space="preserve"> </w:t>
      </w:r>
      <w:r w:rsidRPr="00D140C4">
        <w:t xml:space="preserve"> </w:t>
      </w:r>
      <w:r w:rsidRPr="00EC5407">
        <w:t>Максимальное время ожидания Получателей в очереди не должно превышать 15 минут.</w:t>
      </w:r>
    </w:p>
    <w:p w:rsidR="002A3ACB" w:rsidRPr="00EC5407" w:rsidRDefault="002A3ACB" w:rsidP="002A3ACB">
      <w:pPr>
        <w:suppressAutoHyphens/>
        <w:spacing w:line="240" w:lineRule="atLeast"/>
        <w:ind w:left="-426"/>
        <w:jc w:val="both"/>
      </w:pPr>
      <w:r w:rsidRPr="00EC5407">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2A3ACB" w:rsidRPr="00EC5407" w:rsidRDefault="002A3ACB" w:rsidP="002A3ACB">
      <w:pPr>
        <w:spacing w:line="240" w:lineRule="atLeast"/>
        <w:ind w:left="-426"/>
        <w:jc w:val="both"/>
      </w:pPr>
      <w:r w:rsidRPr="00EC5407">
        <w:t>Проход в пункт (пункты) приема и передвижение по ним должны быть беспрепятственны для инвалидов (в случае необходимости, пункт приема должен быть оборудован пандусами или иными приспособлениями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p>
    <w:p w:rsidR="002A3ACB" w:rsidRPr="00EC5407" w:rsidRDefault="002A3ACB" w:rsidP="002A3ACB">
      <w:pPr>
        <w:ind w:left="-426"/>
        <w:jc w:val="both"/>
      </w:pPr>
      <w:r w:rsidRPr="00EC5407">
        <w:t>3.2.3. В случае выбора Получателем способа получения Изделия по месту нахождения пункта (пунктов) приема, организованного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2A3ACB" w:rsidRPr="00EC5407" w:rsidRDefault="002A3ACB" w:rsidP="002A3ACB">
      <w:pPr>
        <w:ind w:left="-426"/>
        <w:jc w:val="both"/>
      </w:pPr>
      <w:r w:rsidRPr="00EC5407">
        <w:t xml:space="preserve">3.2.4. Передача Изделий Получателям должна производиться в </w:t>
      </w:r>
      <w:r>
        <w:t xml:space="preserve">каждом из </w:t>
      </w:r>
      <w:r w:rsidRPr="00EC5407">
        <w:t>пункт</w:t>
      </w:r>
      <w:r>
        <w:t>ов</w:t>
      </w:r>
      <w:r w:rsidRPr="00EC5407">
        <w:t xml:space="preserve">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2A3ACB" w:rsidRPr="00EC5407" w:rsidRDefault="002A3ACB" w:rsidP="002A3ACB">
      <w:pPr>
        <w:spacing w:line="240" w:lineRule="atLeast"/>
        <w:ind w:left="-426"/>
        <w:jc w:val="both"/>
      </w:pPr>
      <w:r w:rsidRPr="00EC5407">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с даты обращения Получателя.</w:t>
      </w:r>
    </w:p>
    <w:p w:rsidR="002A3ACB" w:rsidRPr="00EC5407" w:rsidRDefault="002A3ACB" w:rsidP="002A3ACB">
      <w:pPr>
        <w:ind w:left="-426"/>
        <w:jc w:val="both"/>
      </w:pPr>
      <w:r w:rsidRPr="00EC5407">
        <w:t>Поставщик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2A3ACB" w:rsidRDefault="002A3ACB" w:rsidP="002A3ACB">
      <w:pPr>
        <w:ind w:left="-426"/>
        <w:jc w:val="both"/>
      </w:pPr>
    </w:p>
    <w:p w:rsidR="002A3ACB" w:rsidRPr="00EC5407" w:rsidRDefault="002A3ACB" w:rsidP="002A3ACB">
      <w:pPr>
        <w:ind w:left="-426"/>
        <w:jc w:val="both"/>
      </w:pPr>
      <w:r w:rsidRPr="00EC5407">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2A3ACB" w:rsidRPr="00EC5407" w:rsidRDefault="002A3ACB" w:rsidP="002A3ACB">
      <w:pPr>
        <w:ind w:left="-426"/>
        <w:jc w:val="both"/>
      </w:pPr>
      <w:r w:rsidRPr="00EC5407">
        <w:t>При проведении выборочной проверки Заказчик вправе осуществлять видеозапись.</w:t>
      </w:r>
    </w:p>
    <w:p w:rsidR="002A3ACB" w:rsidRDefault="002A3ACB" w:rsidP="002A3ACB">
      <w:pPr>
        <w:widowControl w:val="0"/>
        <w:ind w:left="-426"/>
        <w:jc w:val="both"/>
        <w:rPr>
          <w:b/>
          <w:sz w:val="23"/>
          <w:szCs w:val="23"/>
        </w:rPr>
      </w:pPr>
      <w:r>
        <w:lastRenderedPageBreak/>
        <w:t>В день, следующий за днем заключения контракта, на пунктах приема должно находиться не менее 20</w:t>
      </w:r>
      <w:r w:rsidRPr="00B51A6F">
        <w:t>% от</w:t>
      </w:r>
      <w:r>
        <w:t xml:space="preserve"> общего количества товара каждого наименования, предусмотренного контрактом. В дальнейшем на пунктах приема ежедневно должно находиться количество Изделий достаточное для организации их бесперебойной выдачи.</w:t>
      </w:r>
    </w:p>
    <w:p w:rsidR="001D6194" w:rsidRDefault="001D6194"/>
    <w:sectPr w:rsidR="001D6194" w:rsidSect="002A3ACB">
      <w:pgSz w:w="11906" w:h="16838"/>
      <w:pgMar w:top="1134" w:right="85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FB" w:rsidRDefault="00E67AFB" w:rsidP="002A3ACB">
      <w:r>
        <w:separator/>
      </w:r>
    </w:p>
  </w:endnote>
  <w:endnote w:type="continuationSeparator" w:id="0">
    <w:p w:rsidR="00E67AFB" w:rsidRDefault="00E67AFB" w:rsidP="002A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FB" w:rsidRDefault="00E67AFB" w:rsidP="002A3ACB">
      <w:r>
        <w:separator/>
      </w:r>
    </w:p>
  </w:footnote>
  <w:footnote w:type="continuationSeparator" w:id="0">
    <w:p w:rsidR="00E67AFB" w:rsidRDefault="00E67AFB" w:rsidP="002A3ACB">
      <w:r>
        <w:continuationSeparator/>
      </w:r>
    </w:p>
  </w:footnote>
  <w:footnote w:id="1">
    <w:p w:rsidR="002A3ACB" w:rsidRPr="006057C2" w:rsidRDefault="002A3ACB" w:rsidP="002A3ACB">
      <w:pPr>
        <w:pStyle w:val="a3"/>
        <w:rPr>
          <w:lang w:val="ru-RU"/>
        </w:rPr>
      </w:pPr>
      <w:r>
        <w:rPr>
          <w:rStyle w:val="a5"/>
        </w:rPr>
        <w:footnoteRef/>
      </w:r>
      <w:r>
        <w:t xml:space="preserve"> </w:t>
      </w:r>
      <w:r>
        <w:rPr>
          <w:lang w:val="ru-RU"/>
        </w:rPr>
        <w:t>Показатели характеристик указаны без учета допустимых отклонений, устанавливаемых производителем.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1ADC"/>
    <w:multiLevelType w:val="multilevel"/>
    <w:tmpl w:val="60A61DF2"/>
    <w:lvl w:ilvl="0">
      <w:start w:val="1"/>
      <w:numFmt w:val="decimal"/>
      <w:lvlText w:val="%1."/>
      <w:lvlJc w:val="left"/>
      <w:pPr>
        <w:ind w:left="-66" w:hanging="360"/>
      </w:pPr>
      <w:rPr>
        <w:rFonts w:hint="default"/>
      </w:rPr>
    </w:lvl>
    <w:lvl w:ilvl="1">
      <w:start w:val="1"/>
      <w:numFmt w:val="decimal"/>
      <w:isLgl/>
      <w:lvlText w:val="%1.%2."/>
      <w:lvlJc w:val="left"/>
      <w:pPr>
        <w:ind w:left="-66" w:hanging="360"/>
      </w:pPr>
      <w:rPr>
        <w:rFonts w:ascii="Times New Roman" w:hAnsi="Times New Roman" w:cs="Times New Roman" w:hint="default"/>
      </w:rPr>
    </w:lvl>
    <w:lvl w:ilvl="2">
      <w:start w:val="1"/>
      <w:numFmt w:val="decimal"/>
      <w:isLgl/>
      <w:lvlText w:val="%1.%2.%3."/>
      <w:lvlJc w:val="left"/>
      <w:pPr>
        <w:ind w:left="294" w:hanging="720"/>
      </w:pPr>
      <w:rPr>
        <w:rFonts w:ascii="Times New Roman" w:hAnsi="Times New Roman" w:cs="Times New Roman" w:hint="default"/>
      </w:rPr>
    </w:lvl>
    <w:lvl w:ilvl="3">
      <w:start w:val="1"/>
      <w:numFmt w:val="decimal"/>
      <w:isLgl/>
      <w:lvlText w:val="%1.%2.%3.%4."/>
      <w:lvlJc w:val="left"/>
      <w:pPr>
        <w:ind w:left="294" w:hanging="720"/>
      </w:pPr>
      <w:rPr>
        <w:rFonts w:ascii="Times New Roman" w:hAnsi="Times New Roman" w:cs="Times New Roman" w:hint="default"/>
      </w:rPr>
    </w:lvl>
    <w:lvl w:ilvl="4">
      <w:start w:val="1"/>
      <w:numFmt w:val="decimal"/>
      <w:isLgl/>
      <w:lvlText w:val="%1.%2.%3.%4.%5."/>
      <w:lvlJc w:val="left"/>
      <w:pPr>
        <w:ind w:left="654" w:hanging="1080"/>
      </w:pPr>
      <w:rPr>
        <w:rFonts w:ascii="Times New Roman" w:hAnsi="Times New Roman" w:cs="Times New Roman" w:hint="default"/>
      </w:rPr>
    </w:lvl>
    <w:lvl w:ilvl="5">
      <w:start w:val="1"/>
      <w:numFmt w:val="decimal"/>
      <w:isLgl/>
      <w:lvlText w:val="%1.%2.%3.%4.%5.%6."/>
      <w:lvlJc w:val="left"/>
      <w:pPr>
        <w:ind w:left="654" w:hanging="1080"/>
      </w:pPr>
      <w:rPr>
        <w:rFonts w:ascii="Times New Roman" w:hAnsi="Times New Roman" w:cs="Times New Roman" w:hint="default"/>
      </w:rPr>
    </w:lvl>
    <w:lvl w:ilvl="6">
      <w:start w:val="1"/>
      <w:numFmt w:val="decimal"/>
      <w:isLgl/>
      <w:lvlText w:val="%1.%2.%3.%4.%5.%6.%7."/>
      <w:lvlJc w:val="left"/>
      <w:pPr>
        <w:ind w:left="1014" w:hanging="1440"/>
      </w:pPr>
      <w:rPr>
        <w:rFonts w:ascii="Times New Roman" w:hAnsi="Times New Roman" w:cs="Times New Roman" w:hint="default"/>
      </w:rPr>
    </w:lvl>
    <w:lvl w:ilvl="7">
      <w:start w:val="1"/>
      <w:numFmt w:val="decimal"/>
      <w:isLgl/>
      <w:lvlText w:val="%1.%2.%3.%4.%5.%6.%7.%8."/>
      <w:lvlJc w:val="left"/>
      <w:pPr>
        <w:ind w:left="1014" w:hanging="1440"/>
      </w:pPr>
      <w:rPr>
        <w:rFonts w:ascii="Times New Roman" w:hAnsi="Times New Roman" w:cs="Times New Roman" w:hint="default"/>
      </w:rPr>
    </w:lvl>
    <w:lvl w:ilvl="8">
      <w:start w:val="1"/>
      <w:numFmt w:val="decimal"/>
      <w:isLgl/>
      <w:lvlText w:val="%1.%2.%3.%4.%5.%6.%7.%8.%9."/>
      <w:lvlJc w:val="left"/>
      <w:pPr>
        <w:ind w:left="1374"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CB"/>
    <w:rsid w:val="001D6194"/>
    <w:rsid w:val="002A3ACB"/>
    <w:rsid w:val="005F099C"/>
    <w:rsid w:val="006F0614"/>
    <w:rsid w:val="00961F61"/>
    <w:rsid w:val="00B453F9"/>
    <w:rsid w:val="00E6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51E0-EAF8-48EA-81DB-3D603E82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ACB"/>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2A3ACB"/>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3ACB"/>
    <w:rPr>
      <w:rFonts w:ascii="Arial" w:eastAsia="Calibri" w:hAnsi="Arial" w:cs="Times New Roman"/>
      <w:b/>
      <w:bCs/>
      <w:i/>
      <w:iCs/>
      <w:sz w:val="28"/>
      <w:szCs w:val="28"/>
      <w:lang w:val="x-none" w:eastAsia="x-none"/>
    </w:rPr>
  </w:style>
  <w:style w:type="paragraph" w:styleId="a3">
    <w:name w:val="footnote text"/>
    <w:basedOn w:val="a"/>
    <w:link w:val="a4"/>
    <w:uiPriority w:val="99"/>
    <w:semiHidden/>
    <w:unhideWhenUsed/>
    <w:rsid w:val="002A3ACB"/>
    <w:rPr>
      <w:sz w:val="20"/>
      <w:szCs w:val="20"/>
      <w:lang w:val="x-none" w:eastAsia="x-none"/>
    </w:rPr>
  </w:style>
  <w:style w:type="character" w:customStyle="1" w:styleId="a4">
    <w:name w:val="Текст сноски Знак"/>
    <w:basedOn w:val="a0"/>
    <w:link w:val="a3"/>
    <w:uiPriority w:val="99"/>
    <w:semiHidden/>
    <w:rsid w:val="002A3ACB"/>
    <w:rPr>
      <w:rFonts w:ascii="Times New Roman" w:eastAsia="Calibri" w:hAnsi="Times New Roman" w:cs="Times New Roman"/>
      <w:sz w:val="20"/>
      <w:szCs w:val="20"/>
      <w:lang w:val="x-none" w:eastAsia="x-none"/>
    </w:rPr>
  </w:style>
  <w:style w:type="character" w:styleId="a5">
    <w:name w:val="footnote reference"/>
    <w:unhideWhenUsed/>
    <w:rsid w:val="002A3ACB"/>
    <w:rPr>
      <w:vertAlign w:val="superscript"/>
    </w:rPr>
  </w:style>
  <w:style w:type="paragraph" w:styleId="HTML">
    <w:name w:val="HTML Preformatted"/>
    <w:basedOn w:val="a"/>
    <w:link w:val="HTML0"/>
    <w:uiPriority w:val="99"/>
    <w:rsid w:val="002A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2A3AC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7035-3C44-4307-8B5C-223ADD1E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Родион Свиридов</cp:lastModifiedBy>
  <cp:revision>4</cp:revision>
  <dcterms:created xsi:type="dcterms:W3CDTF">2019-08-12T16:22:00Z</dcterms:created>
  <dcterms:modified xsi:type="dcterms:W3CDTF">2019-08-13T08:52:00Z</dcterms:modified>
</cp:coreProperties>
</file>