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C6" w:rsidRDefault="00E13607" w:rsidP="00DA266C">
      <w:pPr>
        <w:keepNext/>
        <w:keepLines/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</w:p>
    <w:p w:rsidR="004530C8" w:rsidRPr="00F562B5" w:rsidRDefault="00E13607" w:rsidP="00DA266C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DA266C">
        <w:rPr>
          <w:b/>
        </w:rPr>
        <w:t>бедра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E52C6" w:rsidRDefault="000E52C6" w:rsidP="002622A4">
      <w:pPr>
        <w:keepNext/>
        <w:ind w:firstLine="709"/>
        <w:jc w:val="both"/>
        <w:rPr>
          <w:color w:val="000000"/>
        </w:rPr>
      </w:pPr>
    </w:p>
    <w:p w:rsidR="00043A33" w:rsidRPr="00151093" w:rsidRDefault="00043A33" w:rsidP="00043A33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43A33" w:rsidRPr="00151093" w:rsidRDefault="00043A33" w:rsidP="00043A33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>Реабилитация и абилитация инвалидов. Основные виды реабилитационных и абилитационных услуг</w:t>
      </w:r>
      <w:r w:rsidRPr="00151093">
        <w:rPr>
          <w:color w:val="000000"/>
          <w:spacing w:val="-2"/>
        </w:rPr>
        <w:t>».</w:t>
      </w:r>
    </w:p>
    <w:p w:rsidR="00043A33" w:rsidRPr="00151093" w:rsidRDefault="00043A33" w:rsidP="00043A33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>конечностей пациентов с помощью протезов конечностей в соответствии с ГОСТ Р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абилитация инвалидов. Основные виды реабилитационных и абилитационных услуг».</w:t>
      </w:r>
    </w:p>
    <w:p w:rsidR="00043A33" w:rsidRPr="00021F4A" w:rsidRDefault="00043A33" w:rsidP="00043A33">
      <w:pPr>
        <w:keepNext/>
        <w:ind w:firstLine="709"/>
        <w:jc w:val="both"/>
      </w:pPr>
      <w:r w:rsidRPr="00021F4A">
        <w:t>Протезы должны быть ремонтопригодными в течение срока службы.</w:t>
      </w:r>
    </w:p>
    <w:p w:rsidR="00043A33" w:rsidRDefault="00043A33" w:rsidP="00043A33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043A33" w:rsidRDefault="00043A33" w:rsidP="00043A33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043A33" w:rsidRPr="00151093" w:rsidRDefault="00043A33" w:rsidP="00043A33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43A33" w:rsidRPr="00021F4A" w:rsidRDefault="00043A33" w:rsidP="00043A33">
      <w:pPr>
        <w:keepNext/>
        <w:ind w:firstLine="709"/>
        <w:jc w:val="both"/>
      </w:pPr>
      <w:r w:rsidRPr="00021F4A"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043A33" w:rsidRPr="00021F4A" w:rsidRDefault="00043A33" w:rsidP="00043A33">
      <w:pPr>
        <w:keepNext/>
        <w:ind w:firstLine="709"/>
        <w:jc w:val="both"/>
      </w:pPr>
      <w:r w:rsidRPr="00021F4A">
        <w:t>На внутренней поверхности гильз не должно быть неровностей, морщин, складок, заминов, отслоений смягчающей подкладки.</w:t>
      </w:r>
    </w:p>
    <w:p w:rsidR="00043A33" w:rsidRPr="00021F4A" w:rsidRDefault="00043A33" w:rsidP="00043A33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043A33" w:rsidRPr="00021F4A" w:rsidRDefault="00043A33" w:rsidP="00043A33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043A33" w:rsidRPr="00021F4A" w:rsidRDefault="00043A33" w:rsidP="00043A33">
      <w:pPr>
        <w:keepNext/>
        <w:ind w:firstLine="709"/>
        <w:jc w:val="both"/>
      </w:pPr>
      <w:r w:rsidRPr="00021F4A">
        <w:t>Конструкцией протеза стопы должны быть обеспечены частичная разгрузка опороспособной культи и полная разгрузка неопороспособной культи.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пенополиуретана — 1 шт. </w:t>
      </w:r>
    </w:p>
    <w:p w:rsidR="00043A33" w:rsidRPr="005E2EEB" w:rsidRDefault="00043A33" w:rsidP="00043A33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043A3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043A33" w:rsidRPr="00986147" w:rsidRDefault="00043A33" w:rsidP="00043A33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043A33" w:rsidRDefault="00043A33" w:rsidP="00043A33">
      <w:pPr>
        <w:pStyle w:val="formattext"/>
        <w:keepNext/>
        <w:spacing w:before="0" w:beforeAutospacing="0" w:after="0" w:afterAutospacing="0"/>
        <w:ind w:firstLine="709"/>
        <w:jc w:val="both"/>
      </w:pPr>
      <w:r w:rsidRPr="004324AD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4324AD">
          <w:rPr>
            <w:rStyle w:val="af5"/>
          </w:rPr>
          <w:t>ГОСТ Р ИСО 22523</w:t>
        </w:r>
      </w:hyperlink>
      <w:r w:rsidRPr="004324AD">
        <w:t>-2007, подраздел 5.1.</w:t>
      </w:r>
    </w:p>
    <w:p w:rsidR="00043A33" w:rsidRDefault="00043A33" w:rsidP="00043A33">
      <w:pPr>
        <w:pStyle w:val="formattext"/>
        <w:keepNext/>
        <w:spacing w:before="0" w:beforeAutospacing="0" w:after="0" w:afterAutospacing="0"/>
        <w:ind w:firstLine="709"/>
        <w:jc w:val="both"/>
      </w:pPr>
      <w:r w:rsidRPr="004324AD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4324AD">
          <w:rPr>
            <w:rStyle w:val="af5"/>
          </w:rPr>
          <w:t>ГОСТ Р ИСО 10993-1</w:t>
        </w:r>
      </w:hyperlink>
      <w:r>
        <w:t>-2011</w:t>
      </w:r>
      <w:r w:rsidRPr="004324AD">
        <w:t xml:space="preserve">, </w:t>
      </w:r>
      <w:hyperlink r:id="rId10" w:history="1">
        <w:r w:rsidRPr="004324AD">
          <w:rPr>
            <w:rStyle w:val="af5"/>
          </w:rPr>
          <w:t>ГОСТ Р ИСО 10993-5</w:t>
        </w:r>
      </w:hyperlink>
      <w:r>
        <w:t>-2011</w:t>
      </w:r>
      <w:r w:rsidRPr="004324AD">
        <w:t xml:space="preserve"> и </w:t>
      </w:r>
      <w:hyperlink r:id="rId11" w:history="1">
        <w:r w:rsidRPr="004324AD">
          <w:rPr>
            <w:rStyle w:val="af5"/>
          </w:rPr>
          <w:t>ГОСТ Р ИСО 10993-10</w:t>
        </w:r>
      </w:hyperlink>
      <w:r>
        <w:t>-2011</w:t>
      </w:r>
      <w:r w:rsidRPr="004324AD">
        <w:t>.</w:t>
      </w:r>
    </w:p>
    <w:p w:rsidR="00043A33" w:rsidRPr="004324AD" w:rsidRDefault="00043A33" w:rsidP="00043A33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043A3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</w:t>
      </w:r>
      <w:r>
        <w:rPr>
          <w:rFonts w:ascii="Times New Roman CYR" w:eastAsia="Times New Roman CYR" w:hAnsi="Times New Roman CYR" w:cs="Times New Roman CYR"/>
          <w:b/>
          <w:bCs/>
          <w:iCs/>
        </w:rPr>
        <w:t>йные обязательства</w:t>
      </w:r>
      <w:r w:rsidRPr="00114567">
        <w:rPr>
          <w:rFonts w:ascii="Times New Roman CYR" w:eastAsia="Times New Roman CYR" w:hAnsi="Times New Roman CYR" w:cs="Times New Roman CYR"/>
          <w:b/>
          <w:bCs/>
          <w:iCs/>
        </w:rPr>
        <w:t>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43A33" w:rsidRDefault="00043A33" w:rsidP="00043A33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бедра </w:t>
      </w:r>
      <w:r w:rsidRPr="0043548D">
        <w:rPr>
          <w:color w:val="000000"/>
          <w:spacing w:val="-2"/>
        </w:rPr>
        <w:t xml:space="preserve">устанавливается </w:t>
      </w:r>
      <w:r w:rsidRPr="0043548D">
        <w:rPr>
          <w:rStyle w:val="6"/>
          <w:color w:val="000000"/>
          <w:spacing w:val="2"/>
        </w:rPr>
        <w:t xml:space="preserve">с даты подписания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r w:rsidRPr="00151093">
        <w:rPr>
          <w:rStyle w:val="6"/>
          <w:color w:val="000000"/>
          <w:spacing w:val="2"/>
        </w:rPr>
        <w:t>с даты подписания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043A33" w:rsidRPr="00151093" w:rsidRDefault="00043A33" w:rsidP="00043A33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043A33" w:rsidRPr="002F5BEA" w:rsidRDefault="00043A33" w:rsidP="00043A33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2F5BEA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043A33" w:rsidRDefault="00043A33" w:rsidP="00043A33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A86BD3">
        <w:rPr>
          <w:color w:val="000000"/>
          <w:spacing w:val="-2"/>
          <w:lang w:val="en-US"/>
        </w:rPr>
        <w:t>C</w:t>
      </w:r>
      <w:r w:rsidRPr="00A86BD3">
        <w:rPr>
          <w:color w:val="000000"/>
          <w:spacing w:val="-2"/>
        </w:rPr>
        <w:t xml:space="preserve">Р. </w:t>
      </w:r>
    </w:p>
    <w:p w:rsidR="00BA07A8" w:rsidRDefault="00BA07A8" w:rsidP="00BA07A8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953"/>
        <w:gridCol w:w="1417"/>
      </w:tblGrid>
      <w:tr w:rsidR="00924FBB" w:rsidRPr="00C5756C" w:rsidTr="00175E1D">
        <w:trPr>
          <w:trHeight w:val="267"/>
        </w:trPr>
        <w:tc>
          <w:tcPr>
            <w:tcW w:w="2694" w:type="dxa"/>
            <w:shd w:val="clear" w:color="auto" w:fill="auto"/>
            <w:vAlign w:val="center"/>
          </w:tcPr>
          <w:p w:rsidR="00924FBB" w:rsidRPr="00C5756C" w:rsidRDefault="00924FBB" w:rsidP="00715F7F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924FBB" w:rsidRPr="00C5756C" w:rsidRDefault="00924FBB" w:rsidP="00715F7F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24FBB" w:rsidRPr="00C5756C" w:rsidRDefault="00924FBB" w:rsidP="00715F7F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417" w:type="dxa"/>
            <w:vAlign w:val="center"/>
          </w:tcPr>
          <w:p w:rsidR="00924FBB" w:rsidRPr="00E3333D" w:rsidRDefault="00924FBB" w:rsidP="004853FC">
            <w:pPr>
              <w:keepNext/>
              <w:keepLines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E3333D">
              <w:rPr>
                <w:sz w:val="20"/>
                <w:szCs w:val="20"/>
              </w:rPr>
              <w:t>Х (руб., коп.)</w:t>
            </w:r>
          </w:p>
        </w:tc>
      </w:tr>
      <w:tr w:rsidR="00924FBB" w:rsidRPr="005C28F3" w:rsidTr="00175E1D">
        <w:trPr>
          <w:trHeight w:val="267"/>
        </w:trPr>
        <w:tc>
          <w:tcPr>
            <w:tcW w:w="2694" w:type="dxa"/>
            <w:shd w:val="clear" w:color="auto" w:fill="auto"/>
          </w:tcPr>
          <w:p w:rsidR="00924FBB" w:rsidRPr="00410591" w:rsidRDefault="00924FBB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</w:t>
            </w:r>
            <w:r>
              <w:rPr>
                <w:sz w:val="22"/>
                <w:szCs w:val="22"/>
              </w:rPr>
              <w:t>не</w:t>
            </w:r>
            <w:r w:rsidRPr="00410591">
              <w:rPr>
                <w:sz w:val="22"/>
                <w:szCs w:val="22"/>
              </w:rPr>
              <w:t xml:space="preserve">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924FBB" w:rsidRPr="009556FE" w:rsidRDefault="00924FBB" w:rsidP="009F7AD2">
            <w:pPr>
              <w:keepNext/>
              <w:jc w:val="both"/>
              <w:rPr>
                <w:sz w:val="21"/>
                <w:szCs w:val="21"/>
              </w:rPr>
            </w:pPr>
            <w:r w:rsidRPr="009556FE">
              <w:rPr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sz w:val="21"/>
                <w:szCs w:val="21"/>
              </w:rPr>
              <w:t xml:space="preserve">немодульный. Приёмная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sz w:val="21"/>
                <w:szCs w:val="21"/>
              </w:rPr>
              <w:t>унифицированная (без пробных гильз),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sz w:val="21"/>
                <w:szCs w:val="21"/>
              </w:rPr>
              <w:t>: дерево, металл, кожа, слоистый пластик на основе полиамидных или акриловых смол. Допускается применение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9556FE">
              <w:rPr>
                <w:sz w:val="21"/>
                <w:szCs w:val="21"/>
              </w:rPr>
              <w:t xml:space="preserve">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sz w:val="21"/>
                <w:szCs w:val="21"/>
              </w:rPr>
              <w:t xml:space="preserve">поясное, или с использованием бандажа. 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sz w:val="21"/>
                <w:szCs w:val="21"/>
              </w:rPr>
              <w:t xml:space="preserve">с высокой степенью устойчивости в положении стоя и при ходьбе.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sz w:val="21"/>
                <w:szCs w:val="21"/>
              </w:rPr>
              <w:t xml:space="preserve">с ручным замком </w:t>
            </w:r>
            <w:r w:rsidRPr="009556FE">
              <w:rPr>
                <w:sz w:val="21"/>
                <w:szCs w:val="21"/>
              </w:rPr>
              <w:lastRenderedPageBreak/>
              <w:t xml:space="preserve">максимальной готовности для немодульных протезов или, коленный шарнир одноосный беззамковый деревянный для немодульных протезов, или коленный шарнир одноосный беззамковый максимальной готовности для немодульных протезов.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sz w:val="21"/>
                <w:szCs w:val="21"/>
              </w:rPr>
              <w:t>листовой поролон. При использовании деревянных узлов колено-голень облицовка не применяется.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sz w:val="21"/>
                <w:szCs w:val="21"/>
              </w:rPr>
              <w:t xml:space="preserve"> -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417" w:type="dxa"/>
            <w:vAlign w:val="center"/>
          </w:tcPr>
          <w:p w:rsidR="00924FBB" w:rsidRPr="00E3333D" w:rsidRDefault="00924FBB" w:rsidP="004853F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333D">
              <w:rPr>
                <w:sz w:val="20"/>
                <w:szCs w:val="20"/>
              </w:rPr>
              <w:lastRenderedPageBreak/>
              <w:t>69142,80</w:t>
            </w:r>
          </w:p>
        </w:tc>
      </w:tr>
      <w:tr w:rsidR="00924FBB" w:rsidRPr="005C28F3" w:rsidTr="00175E1D">
        <w:trPr>
          <w:trHeight w:val="267"/>
        </w:trPr>
        <w:tc>
          <w:tcPr>
            <w:tcW w:w="2694" w:type="dxa"/>
            <w:shd w:val="clear" w:color="auto" w:fill="auto"/>
          </w:tcPr>
          <w:p w:rsidR="00924FBB" w:rsidRPr="00410591" w:rsidRDefault="00924FBB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5953" w:type="dxa"/>
            <w:shd w:val="clear" w:color="auto" w:fill="auto"/>
          </w:tcPr>
          <w:p w:rsidR="00924FBB" w:rsidRPr="009556FE" w:rsidRDefault="00924FBB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color w:val="000000"/>
                <w:sz w:val="21"/>
                <w:szCs w:val="21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9556FE">
              <w:rPr>
                <w:color w:val="000000"/>
                <w:sz w:val="21"/>
                <w:szCs w:val="21"/>
              </w:rPr>
              <w:t xml:space="preserve">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417" w:type="dxa"/>
            <w:vAlign w:val="center"/>
          </w:tcPr>
          <w:p w:rsidR="00924FBB" w:rsidRPr="00E3333D" w:rsidRDefault="00924FBB" w:rsidP="004853F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333D">
              <w:rPr>
                <w:sz w:val="20"/>
                <w:szCs w:val="20"/>
              </w:rPr>
              <w:t>184474,60</w:t>
            </w:r>
          </w:p>
        </w:tc>
      </w:tr>
      <w:tr w:rsidR="00924FBB" w:rsidRPr="005C28F3" w:rsidTr="00175E1D">
        <w:trPr>
          <w:trHeight w:val="267"/>
        </w:trPr>
        <w:tc>
          <w:tcPr>
            <w:tcW w:w="2694" w:type="dxa"/>
            <w:shd w:val="clear" w:color="auto" w:fill="auto"/>
          </w:tcPr>
          <w:p w:rsidR="00924FBB" w:rsidRPr="00410591" w:rsidRDefault="00924FBB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5953" w:type="dxa"/>
            <w:shd w:val="clear" w:color="auto" w:fill="auto"/>
          </w:tcPr>
          <w:p w:rsidR="00924FBB" w:rsidRPr="009556FE" w:rsidRDefault="00924FBB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9556FE">
              <w:rPr>
                <w:color w:val="000000"/>
                <w:sz w:val="21"/>
                <w:szCs w:val="21"/>
              </w:rPr>
              <w:t xml:space="preserve"> средней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color w:val="000000"/>
                <w:sz w:val="21"/>
                <w:szCs w:val="21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9556FE">
              <w:rPr>
                <w:color w:val="000000"/>
                <w:sz w:val="21"/>
                <w:szCs w:val="21"/>
              </w:rPr>
              <w:t xml:space="preserve">ных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>поясное или с использованием бедренного бандажа из эластичных материалов. Коленный шарнир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color w:val="000000"/>
                <w:sz w:val="21"/>
                <w:szCs w:val="21"/>
              </w:rPr>
              <w:t xml:space="preserve"> одноосный с механизмом торможения, или модуль коленный полицентрический пневмомеханический с дву</w:t>
            </w:r>
            <w:r>
              <w:rPr>
                <w:color w:val="000000"/>
                <w:sz w:val="21"/>
                <w:szCs w:val="21"/>
              </w:rPr>
              <w:t>х</w:t>
            </w:r>
            <w:r w:rsidRPr="009556FE">
              <w:rPr>
                <w:color w:val="000000"/>
                <w:sz w:val="21"/>
                <w:szCs w:val="21"/>
              </w:rPr>
              <w:t>камерной пневмосистемой, или модуль коленный четырехосный. Стопа должна быть с высокой подвижностью и гибкостью. Регулировочно-соединительные устройства</w:t>
            </w:r>
            <w:r>
              <w:rPr>
                <w:color w:val="000000"/>
                <w:sz w:val="21"/>
                <w:szCs w:val="21"/>
              </w:rPr>
              <w:t xml:space="preserve"> должны</w:t>
            </w:r>
            <w:r w:rsidRPr="009556FE">
              <w:rPr>
                <w:color w:val="000000"/>
                <w:sz w:val="21"/>
                <w:szCs w:val="21"/>
              </w:rPr>
              <w:t xml:space="preserve"> 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417" w:type="dxa"/>
            <w:vAlign w:val="center"/>
          </w:tcPr>
          <w:p w:rsidR="00924FBB" w:rsidRPr="00E3333D" w:rsidRDefault="00924FBB" w:rsidP="004853F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333D">
              <w:rPr>
                <w:sz w:val="20"/>
                <w:szCs w:val="20"/>
              </w:rPr>
              <w:t>205470,10</w:t>
            </w:r>
          </w:p>
        </w:tc>
      </w:tr>
      <w:tr w:rsidR="00924FBB" w:rsidRPr="005C28F3" w:rsidTr="00175E1D">
        <w:trPr>
          <w:trHeight w:val="267"/>
        </w:trPr>
        <w:tc>
          <w:tcPr>
            <w:tcW w:w="2694" w:type="dxa"/>
            <w:shd w:val="clear" w:color="auto" w:fill="auto"/>
          </w:tcPr>
          <w:p w:rsidR="00924FBB" w:rsidRPr="00410591" w:rsidRDefault="00924FBB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5953" w:type="dxa"/>
            <w:shd w:val="clear" w:color="auto" w:fill="auto"/>
          </w:tcPr>
          <w:p w:rsidR="00924FBB" w:rsidRPr="009556FE" w:rsidRDefault="00924FBB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слоистый пластик на основе акриловых </w:t>
            </w:r>
            <w:r w:rsidRPr="009556FE">
              <w:rPr>
                <w:color w:val="000000"/>
                <w:sz w:val="21"/>
                <w:szCs w:val="21"/>
              </w:rPr>
              <w:lastRenderedPageBreak/>
              <w:t xml:space="preserve">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 </w:t>
            </w:r>
            <w:r>
              <w:rPr>
                <w:color w:val="000000"/>
                <w:sz w:val="21"/>
                <w:szCs w:val="21"/>
              </w:rPr>
              <w:t xml:space="preserve">должен </w:t>
            </w:r>
            <w:r w:rsidRPr="009556FE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силиконовый чехол.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с использованием тяговой замковой системы «KISS» c активной ротационной стабильностью или вакуумной мембраны.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417" w:type="dxa"/>
            <w:vAlign w:val="center"/>
          </w:tcPr>
          <w:p w:rsidR="00924FBB" w:rsidRPr="00E3333D" w:rsidRDefault="00924FBB" w:rsidP="004853F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333D">
              <w:rPr>
                <w:sz w:val="20"/>
                <w:szCs w:val="20"/>
              </w:rPr>
              <w:lastRenderedPageBreak/>
              <w:t>217559,00</w:t>
            </w:r>
          </w:p>
        </w:tc>
      </w:tr>
      <w:tr w:rsidR="00924FBB" w:rsidRPr="005C28F3" w:rsidTr="00175E1D">
        <w:trPr>
          <w:trHeight w:val="267"/>
        </w:trPr>
        <w:tc>
          <w:tcPr>
            <w:tcW w:w="2694" w:type="dxa"/>
            <w:shd w:val="clear" w:color="auto" w:fill="auto"/>
          </w:tcPr>
          <w:p w:rsidR="00924FBB" w:rsidRPr="00410591" w:rsidRDefault="00924FBB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5953" w:type="dxa"/>
            <w:shd w:val="clear" w:color="auto" w:fill="auto"/>
          </w:tcPr>
          <w:p w:rsidR="00924FBB" w:rsidRPr="009556FE" w:rsidRDefault="00924FBB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>модульный 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9556FE">
              <w:rPr>
                <w:color w:val="000000"/>
                <w:sz w:val="21"/>
                <w:szCs w:val="21"/>
              </w:rPr>
              <w:t xml:space="preserve"> средней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>должен</w:t>
            </w:r>
            <w:r w:rsidRPr="009556FE">
              <w:rPr>
                <w:color w:val="000000"/>
                <w:sz w:val="21"/>
                <w:szCs w:val="21"/>
              </w:rPr>
              <w:t xml:space="preserve"> 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силиконовый чехол.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с использованием тяговой замковой системы «KISS» c активной ротационной стабильностью или вакуумной мембраны.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>одноосный с механизмом торможения, или модуль коленный полицентрический пневмомеханический с дву</w:t>
            </w:r>
            <w:r>
              <w:rPr>
                <w:color w:val="000000"/>
                <w:sz w:val="21"/>
                <w:szCs w:val="21"/>
              </w:rPr>
              <w:t>х</w:t>
            </w:r>
            <w:r w:rsidRPr="009556FE">
              <w:rPr>
                <w:color w:val="000000"/>
                <w:sz w:val="21"/>
                <w:szCs w:val="21"/>
              </w:rPr>
              <w:t xml:space="preserve">камерной пневмосистемой, или модуль коленный четырехосный. Стопа должна быть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417" w:type="dxa"/>
            <w:vAlign w:val="center"/>
          </w:tcPr>
          <w:p w:rsidR="00924FBB" w:rsidRPr="00E3333D" w:rsidRDefault="00924FBB" w:rsidP="004853F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333D">
              <w:rPr>
                <w:sz w:val="20"/>
                <w:szCs w:val="20"/>
              </w:rPr>
              <w:t>354745,60</w:t>
            </w:r>
          </w:p>
        </w:tc>
      </w:tr>
      <w:tr w:rsidR="00924FBB" w:rsidRPr="005C28F3" w:rsidTr="00175E1D">
        <w:trPr>
          <w:trHeight w:val="267"/>
        </w:trPr>
        <w:tc>
          <w:tcPr>
            <w:tcW w:w="2694" w:type="dxa"/>
            <w:shd w:val="clear" w:color="auto" w:fill="auto"/>
          </w:tcPr>
          <w:p w:rsidR="00924FBB" w:rsidRPr="00410591" w:rsidRDefault="00924FBB" w:rsidP="009F7AD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5953" w:type="dxa"/>
            <w:shd w:val="clear" w:color="auto" w:fill="auto"/>
          </w:tcPr>
          <w:p w:rsidR="00924FBB" w:rsidRPr="009556FE" w:rsidRDefault="00924FBB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слоистый пластик на основе акриловых смол. Материал пробной гильзы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>должен</w:t>
            </w:r>
            <w:r w:rsidRPr="009556FE">
              <w:rPr>
                <w:color w:val="000000"/>
                <w:sz w:val="21"/>
                <w:szCs w:val="21"/>
              </w:rPr>
              <w:t xml:space="preserve"> 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силиконовый чехол. Крепление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с использованием тяговой замковой системы «KISS» c активной ротационной стабильностью или вакуумной мембраны.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многоосный с пневматическим управлением фазой переноса в том числе с углом сгибания не менее 170 градусов.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Может 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 xml:space="preserve">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</w:t>
            </w:r>
            <w:r w:rsidRPr="009556FE">
              <w:rPr>
                <w:color w:val="000000"/>
                <w:sz w:val="21"/>
                <w:szCs w:val="21"/>
              </w:rPr>
              <w:lastRenderedPageBreak/>
              <w:t>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417" w:type="dxa"/>
            <w:vAlign w:val="center"/>
          </w:tcPr>
          <w:p w:rsidR="00924FBB" w:rsidRPr="00E3333D" w:rsidRDefault="00924FBB" w:rsidP="004853F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333D">
              <w:rPr>
                <w:sz w:val="20"/>
                <w:szCs w:val="20"/>
              </w:rPr>
              <w:lastRenderedPageBreak/>
              <w:t>506941,40</w:t>
            </w:r>
          </w:p>
        </w:tc>
      </w:tr>
      <w:tr w:rsidR="00924FBB" w:rsidRPr="005C28F3" w:rsidTr="00175E1D">
        <w:trPr>
          <w:trHeight w:val="267"/>
        </w:trPr>
        <w:tc>
          <w:tcPr>
            <w:tcW w:w="2694" w:type="dxa"/>
            <w:shd w:val="clear" w:color="auto" w:fill="auto"/>
          </w:tcPr>
          <w:p w:rsidR="00924FBB" w:rsidRPr="00410591" w:rsidRDefault="00924FBB" w:rsidP="009F7AD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5953" w:type="dxa"/>
            <w:shd w:val="clear" w:color="auto" w:fill="auto"/>
          </w:tcPr>
          <w:p w:rsidR="00924FBB" w:rsidRPr="009556FE" w:rsidRDefault="00924FBB" w:rsidP="009F7AD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556FE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модульный для пациентов с высокой степенью активности. Приёмных гильз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>две: одна индивидуальная, (одна пробная гильза). Материал унифицированной постоянной гильзы</w:t>
            </w:r>
            <w:r>
              <w:rPr>
                <w:sz w:val="21"/>
                <w:szCs w:val="21"/>
              </w:rPr>
              <w:t xml:space="preserve"> должен быть</w:t>
            </w:r>
            <w:r w:rsidRPr="009556FE">
              <w:rPr>
                <w:color w:val="000000"/>
                <w:sz w:val="21"/>
                <w:szCs w:val="21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color w:val="000000"/>
                <w:sz w:val="21"/>
                <w:szCs w:val="21"/>
              </w:rPr>
              <w:t>н</w:t>
            </w:r>
            <w:r w:rsidRPr="009556FE">
              <w:rPr>
                <w:color w:val="000000"/>
                <w:sz w:val="21"/>
                <w:szCs w:val="21"/>
              </w:rPr>
              <w:t xml:space="preserve">ых материалов. Крепление протеза </w:t>
            </w:r>
            <w:r>
              <w:rPr>
                <w:sz w:val="21"/>
                <w:szCs w:val="21"/>
              </w:rPr>
              <w:t xml:space="preserve">должно быть </w:t>
            </w:r>
            <w:r w:rsidRPr="009556FE">
              <w:rPr>
                <w:color w:val="000000"/>
                <w:sz w:val="21"/>
                <w:szCs w:val="21"/>
              </w:rPr>
              <w:t xml:space="preserve">поясное или с использованием бедренного бандажа из эластичных материалов. Коленный шарнир </w:t>
            </w:r>
            <w:r>
              <w:rPr>
                <w:sz w:val="21"/>
                <w:szCs w:val="21"/>
              </w:rPr>
              <w:t xml:space="preserve">должен быть </w:t>
            </w:r>
            <w:r w:rsidRPr="009556FE">
              <w:rPr>
                <w:color w:val="000000"/>
                <w:sz w:val="21"/>
                <w:szCs w:val="21"/>
              </w:rPr>
              <w:t xml:space="preserve">многоосный с пневматическим управлением фазой переноса в том числе с углом сгибания не менее 170 градусов. Стопа должна быть с легким перекатом, хорошей отдачей энергии и компенсацией неровностей пола.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9556FE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9556FE">
              <w:rPr>
                <w:color w:val="000000"/>
                <w:sz w:val="21"/>
                <w:szCs w:val="21"/>
              </w:rPr>
              <w:t xml:space="preserve"> весу инвалида. Может 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556FE">
              <w:rPr>
                <w:color w:val="000000"/>
                <w:sz w:val="21"/>
                <w:szCs w:val="21"/>
              </w:rPr>
              <w:t xml:space="preserve">ся надколенный поворотный адаптер. Формообразующая часть косметической облицовки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9556FE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</w:rPr>
              <w:t xml:space="preserve"> должно быть</w:t>
            </w:r>
            <w:r w:rsidRPr="009556FE">
              <w:rPr>
                <w:color w:val="000000"/>
                <w:sz w:val="21"/>
                <w:szCs w:val="21"/>
              </w:rPr>
              <w:t>: чулки ортопедические перлоновые или силоновые.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417" w:type="dxa"/>
            <w:vAlign w:val="center"/>
          </w:tcPr>
          <w:p w:rsidR="00924FBB" w:rsidRPr="00E3333D" w:rsidRDefault="00924FBB" w:rsidP="004853FC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333D">
              <w:rPr>
                <w:sz w:val="20"/>
                <w:szCs w:val="20"/>
              </w:rPr>
              <w:t>505820,50</w:t>
            </w:r>
          </w:p>
        </w:tc>
      </w:tr>
    </w:tbl>
    <w:p w:rsidR="008E08C6" w:rsidRDefault="008E08C6" w:rsidP="00DA266C">
      <w:pPr>
        <w:keepNext/>
        <w:keepLines/>
        <w:snapToGrid w:val="0"/>
        <w:rPr>
          <w:b/>
          <w:bCs/>
          <w:iCs/>
          <w:sz w:val="16"/>
          <w:szCs w:val="16"/>
        </w:rPr>
      </w:pPr>
    </w:p>
    <w:p w:rsidR="00924FBB" w:rsidRPr="00924FBB" w:rsidRDefault="00924FBB" w:rsidP="00DA266C">
      <w:pPr>
        <w:keepNext/>
        <w:keepLines/>
        <w:snapToGrid w:val="0"/>
        <w:rPr>
          <w:bCs/>
          <w:iCs/>
        </w:rPr>
      </w:pPr>
      <w:r w:rsidRPr="00924FBB">
        <w:t>Объем выполняемых работ: невозможно определить (п.2 ст.42 Федерального закона от 05.04.2013 г. № 44-ФЗ).</w:t>
      </w:r>
    </w:p>
    <w:p w:rsidR="000E52C6" w:rsidRPr="00924FBB" w:rsidRDefault="00924FBB" w:rsidP="00DA266C">
      <w:pPr>
        <w:keepNext/>
        <w:keepLines/>
        <w:snapToGrid w:val="0"/>
        <w:rPr>
          <w:spacing w:val="-2"/>
        </w:rPr>
      </w:pPr>
      <w:r w:rsidRPr="00924FBB">
        <w:t xml:space="preserve">Место выполнения работ: </w:t>
      </w:r>
      <w:r w:rsidRPr="00924FBB">
        <w:rPr>
          <w:rFonts w:eastAsia="Times New Roman CYR" w:cs="Arial CYR"/>
          <w:spacing w:val="-2"/>
        </w:rPr>
        <w:t xml:space="preserve">по месту нахождения Исполнителя. </w:t>
      </w:r>
      <w:r w:rsidRPr="00924FBB">
        <w:rPr>
          <w:spacing w:val="-2"/>
        </w:rPr>
        <w:t xml:space="preserve">Оформление индивидуального заказа и передача </w:t>
      </w:r>
      <w:r w:rsidRPr="00924FBB">
        <w:t>протезно-ортопедических изделий</w:t>
      </w:r>
      <w:r w:rsidRPr="00924FBB">
        <w:rPr>
          <w:spacing w:val="-2"/>
        </w:rPr>
        <w:t xml:space="preserve"> маломобильным инвалидам </w:t>
      </w:r>
      <w:r w:rsidRPr="00924FBB">
        <w:t xml:space="preserve">и отдельным категориям граждан из числа ветеранов </w:t>
      </w:r>
      <w:r w:rsidRPr="00924FBB">
        <w:rPr>
          <w:spacing w:val="-2"/>
        </w:rPr>
        <w:t>осуществляется по месту их жительства.</w:t>
      </w:r>
    </w:p>
    <w:p w:rsidR="00924FBB" w:rsidRPr="00924FBB" w:rsidRDefault="00924FBB" w:rsidP="00924FBB">
      <w:pPr>
        <w:pStyle w:val="a1"/>
        <w:keepNext/>
        <w:keepLines/>
        <w:widowControl w:val="0"/>
        <w:numPr>
          <w:ilvl w:val="0"/>
          <w:numId w:val="2"/>
        </w:numPr>
        <w:ind w:firstLine="5"/>
        <w:jc w:val="both"/>
        <w:rPr>
          <w:b w:val="0"/>
          <w:sz w:val="24"/>
        </w:rPr>
      </w:pPr>
      <w:r w:rsidRPr="00924FBB">
        <w:rPr>
          <w:b w:val="0"/>
          <w:sz w:val="24"/>
        </w:rPr>
        <w:t>Срок выполнения работ: в срок, не превышающий 30 календарных дней с даты обращения инвалида с Направлением, выданным Заказчиком, или с даты получения разнарядки от Заказчика.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0E52C6" w:rsidRPr="00924FBB" w:rsidRDefault="000E52C6" w:rsidP="000E52C6">
      <w:pPr>
        <w:keepNext/>
        <w:suppressAutoHyphens w:val="0"/>
        <w:snapToGrid w:val="0"/>
        <w:rPr>
          <w:bCs/>
        </w:rPr>
      </w:pPr>
      <w:r w:rsidRPr="00924FBB">
        <w:rPr>
          <w:bCs/>
        </w:rPr>
        <w:t xml:space="preserve">Планируемый срок размещения закупки – </w:t>
      </w:r>
      <w:r w:rsidR="00043A33" w:rsidRPr="00924FBB">
        <w:rPr>
          <w:bCs/>
        </w:rPr>
        <w:t>декабрь</w:t>
      </w:r>
      <w:bookmarkStart w:id="0" w:name="_GoBack"/>
      <w:bookmarkEnd w:id="0"/>
      <w:r w:rsidRPr="00924FBB">
        <w:rPr>
          <w:bCs/>
        </w:rPr>
        <w:t xml:space="preserve"> 2019 г.</w:t>
      </w:r>
    </w:p>
    <w:p w:rsidR="000E52C6" w:rsidRPr="00924FBB" w:rsidRDefault="000E52C6" w:rsidP="00DA266C">
      <w:pPr>
        <w:keepNext/>
        <w:keepLines/>
        <w:snapToGrid w:val="0"/>
        <w:rPr>
          <w:bCs/>
          <w:iCs/>
        </w:rPr>
      </w:pPr>
    </w:p>
    <w:p w:rsidR="00924FBB" w:rsidRPr="00924FBB" w:rsidRDefault="00924FBB">
      <w:pPr>
        <w:keepNext/>
        <w:keepLines/>
        <w:snapToGrid w:val="0"/>
        <w:rPr>
          <w:bCs/>
          <w:iCs/>
          <w:sz w:val="16"/>
          <w:szCs w:val="16"/>
        </w:rPr>
      </w:pPr>
    </w:p>
    <w:sectPr w:rsidR="00924FBB" w:rsidRPr="00924FBB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58" w:rsidRDefault="00C05758" w:rsidP="001653BC">
      <w:r>
        <w:separator/>
      </w:r>
    </w:p>
  </w:endnote>
  <w:endnote w:type="continuationSeparator" w:id="1">
    <w:p w:rsidR="00C05758" w:rsidRDefault="00C05758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58" w:rsidRDefault="00C05758" w:rsidP="001653BC">
      <w:r>
        <w:separator/>
      </w:r>
    </w:p>
  </w:footnote>
  <w:footnote w:type="continuationSeparator" w:id="1">
    <w:p w:rsidR="00C05758" w:rsidRDefault="00C05758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A33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B5ED2"/>
    <w:rsid w:val="000C260B"/>
    <w:rsid w:val="000C2824"/>
    <w:rsid w:val="000C4BEB"/>
    <w:rsid w:val="000D0723"/>
    <w:rsid w:val="000E0EED"/>
    <w:rsid w:val="000E12C2"/>
    <w:rsid w:val="000E52C6"/>
    <w:rsid w:val="000E7ED4"/>
    <w:rsid w:val="000F043C"/>
    <w:rsid w:val="000F46E6"/>
    <w:rsid w:val="00100434"/>
    <w:rsid w:val="00102CA7"/>
    <w:rsid w:val="00106A63"/>
    <w:rsid w:val="00106EE7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74FA"/>
    <w:rsid w:val="00242C1D"/>
    <w:rsid w:val="00245813"/>
    <w:rsid w:val="0026053E"/>
    <w:rsid w:val="002622A4"/>
    <w:rsid w:val="0026519D"/>
    <w:rsid w:val="00280E4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4FBB"/>
    <w:rsid w:val="009251D6"/>
    <w:rsid w:val="009273EF"/>
    <w:rsid w:val="009407EA"/>
    <w:rsid w:val="00941F84"/>
    <w:rsid w:val="00945041"/>
    <w:rsid w:val="0095304E"/>
    <w:rsid w:val="00961599"/>
    <w:rsid w:val="00963949"/>
    <w:rsid w:val="0098138A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5758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DC18-DDB5-4A48-A16A-63FFB425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17605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2018-07-05T10:32:00Z</cp:lastPrinted>
  <dcterms:created xsi:type="dcterms:W3CDTF">2020-01-21T09:53:00Z</dcterms:created>
  <dcterms:modified xsi:type="dcterms:W3CDTF">2020-01-21T09:53:00Z</dcterms:modified>
</cp:coreProperties>
</file>