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94" w:rsidRDefault="00EE0E94" w:rsidP="00EE0E94">
      <w:pPr>
        <w:pStyle w:val="af0"/>
        <w:jc w:val="center"/>
        <w:rPr>
          <w:rFonts w:ascii="Times New Roman" w:hAnsi="Times New Roman"/>
          <w:b/>
          <w:color w:val="000000"/>
        </w:rPr>
      </w:pPr>
      <w:bookmarkStart w:id="0" w:name="_Toc531775982"/>
      <w:r>
        <w:rPr>
          <w:rFonts w:ascii="Times New Roman" w:hAnsi="Times New Roman"/>
          <w:b/>
          <w:color w:val="000000"/>
        </w:rPr>
        <w:t>Техническое задание</w:t>
      </w:r>
    </w:p>
    <w:p w:rsidR="00EE0E94" w:rsidRDefault="00EE0E94" w:rsidP="00EE0E94">
      <w:pPr>
        <w:pStyle w:val="af0"/>
        <w:jc w:val="center"/>
        <w:rPr>
          <w:rFonts w:ascii="Times New Roman" w:hAnsi="Times New Roman"/>
          <w:b/>
          <w:color w:val="000000"/>
        </w:rPr>
      </w:pPr>
      <w:bookmarkStart w:id="1" w:name="_GoBack"/>
      <w:bookmarkEnd w:id="1"/>
    </w:p>
    <w:tbl>
      <w:tblPr>
        <w:tblpPr w:leftFromText="180" w:rightFromText="180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0"/>
      </w:tblGrid>
      <w:tr w:rsidR="00EE0E94" w:rsidRPr="00564A44" w:rsidTr="00C63AA0">
        <w:trPr>
          <w:trHeight w:val="1013"/>
        </w:trPr>
        <w:tc>
          <w:tcPr>
            <w:tcW w:w="3120" w:type="dxa"/>
            <w:shd w:val="clear" w:color="auto" w:fill="auto"/>
          </w:tcPr>
          <w:p w:rsidR="00EE0E94" w:rsidRPr="00564A44" w:rsidRDefault="00EE0E94" w:rsidP="00C63AA0">
            <w:pPr>
              <w:pStyle w:val="af0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</w:rPr>
              <w:t>Место выполняемых работ</w:t>
            </w:r>
          </w:p>
        </w:tc>
        <w:tc>
          <w:tcPr>
            <w:tcW w:w="7110" w:type="dxa"/>
            <w:shd w:val="clear" w:color="auto" w:fill="auto"/>
          </w:tcPr>
          <w:p w:rsidR="00EE0E94" w:rsidRPr="002F3023" w:rsidRDefault="00EE0E94" w:rsidP="00C63AA0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3BB6">
              <w:rPr>
                <w:rFonts w:ascii="Times New Roman" w:hAnsi="Times New Roman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283BB6">
              <w:rPr>
                <w:rFonts w:ascii="Times New Roman" w:hAnsi="Times New Roman"/>
                <w:lang w:eastAsia="en-US"/>
              </w:rPr>
              <w:t xml:space="preserve"> по месту нахождения Исполнителя. Готовые</w:t>
            </w:r>
            <w:r w:rsidRPr="001A4FD2">
              <w:rPr>
                <w:rFonts w:ascii="Times New Roman" w:hAnsi="Times New Roman"/>
                <w:lang w:eastAsia="en-US"/>
              </w:rPr>
              <w:t xml:space="preserve">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      </w:r>
          </w:p>
        </w:tc>
      </w:tr>
      <w:tr w:rsidR="00EE0E94" w:rsidRPr="00564A44" w:rsidTr="00C90139">
        <w:trPr>
          <w:trHeight w:val="1708"/>
        </w:trPr>
        <w:tc>
          <w:tcPr>
            <w:tcW w:w="3120" w:type="dxa"/>
            <w:shd w:val="clear" w:color="auto" w:fill="auto"/>
          </w:tcPr>
          <w:p w:rsidR="00EE0E94" w:rsidRPr="00564A44" w:rsidRDefault="00EE0E94" w:rsidP="00C63AA0">
            <w:pPr>
              <w:pStyle w:val="af0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  <w:spacing w:val="-14"/>
              </w:rPr>
              <w:t xml:space="preserve">Срок </w:t>
            </w:r>
            <w:r w:rsidRPr="00564A44">
              <w:rPr>
                <w:rFonts w:ascii="Times New Roman" w:hAnsi="Times New Roman"/>
              </w:rPr>
              <w:t>выполнения работ</w:t>
            </w:r>
          </w:p>
        </w:tc>
        <w:tc>
          <w:tcPr>
            <w:tcW w:w="7110" w:type="dxa"/>
            <w:shd w:val="clear" w:color="auto" w:fill="auto"/>
          </w:tcPr>
          <w:p w:rsidR="00EE0E94" w:rsidRPr="001A4FD2" w:rsidRDefault="00EE0E94" w:rsidP="00C63AA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A4FD2">
              <w:rPr>
                <w:rFonts w:ascii="Times New Roman" w:hAnsi="Times New Roman"/>
                <w:lang w:eastAsia="en-US"/>
              </w:rPr>
              <w:t>Исполнитель обязан в течение 20 (двадцати) рабочих дней со дня получения направления от Получателя изготовить Изделия и письменно (</w:t>
            </w:r>
            <w:r w:rsidRPr="001A4FD2">
              <w:rPr>
                <w:rFonts w:ascii="Times New Roman" w:hAnsi="Times New Roman"/>
                <w:iCs/>
                <w:lang w:eastAsia="en-US"/>
              </w:rPr>
              <w:t>по почте, факсимильным сообщением или электронной почтой)</w:t>
            </w:r>
            <w:r w:rsidRPr="001A4FD2">
              <w:rPr>
                <w:rFonts w:ascii="Times New Roman" w:hAnsi="Times New Roman"/>
                <w:lang w:eastAsia="en-US"/>
              </w:rPr>
              <w:t xml:space="preserve"> уведомить Заказчика о готовности Изделия к выдаче;</w:t>
            </w:r>
          </w:p>
          <w:p w:rsidR="00EE0E94" w:rsidRPr="002F3023" w:rsidRDefault="00EE0E94" w:rsidP="00C63AA0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A4FD2">
              <w:rPr>
                <w:rFonts w:ascii="Times New Roman" w:hAnsi="Times New Roman"/>
              </w:rPr>
              <w:t>Все работы по Контракту должны быть выполнены в период со дня заключения Контракта по «</w:t>
            </w:r>
            <w:r>
              <w:rPr>
                <w:rFonts w:ascii="Times New Roman" w:hAnsi="Times New Roman"/>
              </w:rPr>
              <w:t>1</w:t>
            </w:r>
            <w:r w:rsidRPr="001A4FD2">
              <w:rPr>
                <w:rFonts w:ascii="Times New Roman" w:hAnsi="Times New Roman"/>
              </w:rPr>
              <w:t xml:space="preserve">0» </w:t>
            </w:r>
            <w:r>
              <w:rPr>
                <w:rFonts w:ascii="Times New Roman" w:hAnsi="Times New Roman"/>
              </w:rPr>
              <w:t>августа</w:t>
            </w:r>
            <w:r w:rsidRPr="001A4FD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1A4FD2">
              <w:rPr>
                <w:rFonts w:ascii="Times New Roman" w:hAnsi="Times New Roman"/>
              </w:rPr>
              <w:t xml:space="preserve"> года включительно</w:t>
            </w:r>
            <w:r w:rsidR="00C90139">
              <w:rPr>
                <w:rFonts w:ascii="Times New Roman" w:hAnsi="Times New Roman"/>
              </w:rPr>
              <w:t>.</w:t>
            </w:r>
          </w:p>
        </w:tc>
      </w:tr>
    </w:tbl>
    <w:p w:rsidR="00B114EF" w:rsidRPr="00DC3D04" w:rsidRDefault="00136502" w:rsidP="006E5AE0">
      <w:pPr>
        <w:pStyle w:val="3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0473C3" w:rsidRDefault="000473C3" w:rsidP="00EE0E94">
      <w:pPr>
        <w:pStyle w:val="15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протезов нижних конечностей для обеспечения инвалидов</w:t>
      </w:r>
      <w:r w:rsidR="0069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в 20</w:t>
      </w:r>
      <w:r w:rsidR="00696F95">
        <w:rPr>
          <w:rFonts w:ascii="Times New Roman" w:hAnsi="Times New Roman" w:cs="Times New Roman"/>
          <w:bCs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году</w:t>
      </w:r>
    </w:p>
    <w:p w:rsidR="00696F95" w:rsidRDefault="00696F95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7796"/>
      </w:tblGrid>
      <w:tr w:rsidR="00696F95" w:rsidRPr="00696F95" w:rsidTr="00EE0E94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Протез стопы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стопы немодульный долж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ен быть из слоистого пластика с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вкладным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ехлом в башмачок, из вспененных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(культя по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Шопару или Лисфранку), без косметической облицовки и оболочки.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Изготовление должно быть по 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ндивидуальному слепку. Материал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быть: слоистый пласт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ик. Протез должен быть без шин,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голеностопного шарнира,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полукольца.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 с использование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носка для вкладных башмачков.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Крепление должно быть без дв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ижения в голеностопном шарнире.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должен быть рассчитан на нагрузку не менее 100 кг.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</w:t>
            </w:r>
          </w:p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лечебно-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голени лечебно-тренировочный </w:t>
            </w:r>
            <w:r w:rsidR="00B66A1D" w:rsidRPr="00B66A1D">
              <w:rPr>
                <w:rFonts w:ascii="Times New Roman" w:hAnsi="Times New Roman" w:cs="Times New Roman"/>
                <w:sz w:val="22"/>
                <w:szCs w:val="22"/>
              </w:rPr>
              <w:t>назначается при первичном протезировании для обучения навыкам ходьбы и формирования объемных размеров культи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Форм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ообразующая часть косметической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облицовки должна быть моду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льная мягкая полиуретановая или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поролон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Косметич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еское покрытие облицовки должно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быть: чулки ортопедические пер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лоновые или силоновые. Приемная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индивиду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альная. Материал индивидуальной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гильзы должен быть: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кожа, или литьевой слоистый пластик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 основе полиамидных или акр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иловых смол, или листовой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Крепление протеза должно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гильзы (манже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ты с шинами)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допускается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дополнительное кре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пление с использованием кожаных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полуфабрикатов. Стопа должна быт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из микроячеистого полиуретана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адаптером голеностопным.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должен быть рассчитан 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нагрузку не менее 100 кг.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для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должен быть с полностью покрывающей его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влажной среде. Комп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оненты протезной системы должны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обеспечивать отсутствие коррозии, должны быть совместимы со</w:t>
            </w:r>
          </w:p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всеми протезными гильзами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изготовленными из водостойких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материалов, должны обеспечивать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использование с сопутствующими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протезными гильзами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изготовления. Приемная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 на основе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акриловых смол. Крепление должно быть за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счет силиконовой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манжеты с вакуумным клапано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с использованием силиконового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чехла без замка. Стопа должна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быть с эластичным и встроенным п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яточным клином, а так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же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иметь специальное рифление для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увеличения надежнос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 сцепления и предохранения от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проскальзывания на мокрой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поверхности.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рассчитан на нагрузку не менее 100 кг.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</w:t>
            </w:r>
          </w:p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модульного типа, в</w:t>
            </w:r>
          </w:p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том числе при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недоразвитии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B66A1D" w:rsidRDefault="00B511CB" w:rsidP="00B51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модульный.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Формообразующая часть косм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етической облицовки должна быть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мягкая полиу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ретановая или листовой поролон.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Косметическое покрыт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ие облицовки должно быть: чулки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ортопедические перлоновые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или силоновые. Приемная гильза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должн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 быть индивидуальная. Материал индивидуальной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 гильзы должен быт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ь: литьевой слоистый пластик на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основе полиамидных или акриловых смол,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или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листовой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материалов. Крепле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ние протеза должно быть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силиконового ч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ехла с замковым устройством или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за счет формы приемной гильз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ы. Регулировочно-соединительные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устройства должны соответствоват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весу Получателя. Стопа должна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 со средней или высокой степенью энергосб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ережения. Протез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 рассчитан на нагрузку не менее 100 кг.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B66A1D">
            <w:pPr>
              <w:pStyle w:val="15"/>
              <w:rPr>
                <w:rFonts w:ascii="Times New Roman" w:hAnsi="Times New Roman" w:cs="Times New Roman"/>
                <w:lang w:eastAsia="en-US"/>
              </w:rPr>
            </w:pPr>
            <w:r w:rsidRPr="00696F95">
              <w:rPr>
                <w:rFonts w:ascii="Times New Roman" w:hAnsi="Times New Roman" w:cs="Times New Roman"/>
                <w:lang w:eastAsia="en-US"/>
              </w:rPr>
              <w:t>Протез голени немодульный</w:t>
            </w:r>
          </w:p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511CB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  <w:lang w:eastAsia="en-US"/>
              </w:rPr>
              <w:t>Протез голени немодульный шинно-кожаный (культя по Пирогову)</w:t>
            </w:r>
            <w:r w:rsidR="00B511CB">
              <w:rPr>
                <w:rFonts w:ascii="Times New Roman" w:hAnsi="Times New Roman" w:cs="Times New Roman"/>
                <w:lang w:eastAsia="en-US"/>
              </w:rPr>
              <w:t xml:space="preserve"> должен быть </w:t>
            </w:r>
            <w:r w:rsidRPr="00696F95">
              <w:rPr>
                <w:rFonts w:ascii="Times New Roman" w:hAnsi="Times New Roman" w:cs="Times New Roman"/>
                <w:lang w:eastAsia="en-US"/>
              </w:rPr>
              <w:t xml:space="preserve"> без косметической облицовки и оболочки. Приемная гильза должна быть унифицированная или индивидуальная. Материал приемной гильзы должен быть: кожа. Протез должен быть без вкладной гильзы. Метод крепления протеза должен быть: с использованием кожаных полуфабрикатов (без шин). Стопа должна быть деревянно-фильцевая, с голеностопным шарниром подвижным в сагиттальной плоскости или стопа шарнирная полиуретановая, монолитная. Протез должен быть рассчитан на нагрузку не менее 100 кг.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 w:rsidP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лечебно-тренировочный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511CB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лечебно-тренировочный</w:t>
            </w:r>
            <w:r w:rsidR="00B511CB">
              <w:rPr>
                <w:rFonts w:ascii="Times New Roman" w:hAnsi="Times New Roman" w:cs="Times New Roman"/>
                <w:lang w:eastAsia="en-US" w:bidi="ru-RU"/>
              </w:rPr>
              <w:t xml:space="preserve"> </w:t>
            </w:r>
            <w:r w:rsidR="00B511CB" w:rsidRPr="00B66A1D">
              <w:rPr>
                <w:rFonts w:ascii="Times New Roman" w:hAnsi="Times New Roman" w:cs="Times New Roman"/>
              </w:rPr>
              <w:t>назначается при первичном протезировании для обучения навыкам ходьбы и формирования объемных размеров культи.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</w:tr>
      <w:tr w:rsidR="00696F95" w:rsidRPr="00696F95" w:rsidTr="00EE0E94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для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должен б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ыть с полностью покрывающей его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696F95" w:rsidRPr="00B66A1D" w:rsidRDefault="00B66A1D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влажной среде.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Компоненты протезной системы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обеспечивать отсутствие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коррозии, должны быть совместим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 со всеми протезными гильзами,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изготовленными из водостойких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материалов, должны обеспечивать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использование с соп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утствующими протезными гильзами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изготовления. Приемная 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ильза должна быть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ления на основе акриловых смол.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Крепление протеза на культе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может быть выполнено при помощи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приемной гильзы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полимерным чехлом, бедренного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поддерживающего бандажа,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эластичного рукава с полимерным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покрытием или без полимерног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покрытия, вакуумного клапана.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Коленный модуль должен иметь угол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сгибания не менее 115 градусов с упорами в крайних положениях.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Стопа должна быть с эластичным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 встроенным пяточным клином, а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так же иметь специальное рифление для увеличения надеж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ности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сцепления и предохранен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ия от проскальзывания на мокрой 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поверхности. Протез должен быть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рассчитан на нагрузку не менее </w:t>
            </w:r>
            <w:r>
              <w:rPr>
                <w:rFonts w:ascii="Times New Roman" w:hAnsi="Times New Roman" w:cs="Times New Roman"/>
              </w:rPr>
              <w:t>1</w:t>
            </w:r>
            <w:r w:rsidR="00696F95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00 кг.</w:t>
            </w:r>
          </w:p>
        </w:tc>
      </w:tr>
      <w:tr w:rsidR="00696F95" w:rsidRPr="00696F95" w:rsidTr="00EE0E94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модульный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</w:t>
            </w:r>
            <w:r w:rsidR="00B511CB">
              <w:rPr>
                <w:rFonts w:ascii="Times New Roman" w:hAnsi="Times New Roman" w:cs="Times New Roman"/>
                <w:lang w:eastAsia="en-US" w:bidi="ru-RU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>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</w:tr>
      <w:tr w:rsidR="00696F95" w:rsidRPr="00696F95" w:rsidTr="00EE0E94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при</w:t>
            </w:r>
          </w:p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вычленении бедра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модульный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B66A1D" w:rsidRDefault="00696F95" w:rsidP="00B51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после вычленения в тазобедренном суставе модульный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 изготовлен по индив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идуальному техпроцессу. </w:t>
            </w:r>
            <w:r w:rsidR="00B511C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риемная гильза должн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 быть изготовлена по слепку из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литьевого слоистого пластика на осно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ве акриловых смол. Стопа должна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обеспечивать удобную опору на пя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тку, легкий перекат, улучшенную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передачу накопленной энергии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Коленный модуль должен быть с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замковым механизмом, моноцентричес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кий, с регулируемым фиксатором.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Тазобедренный шарнир должен быть м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оноцентрический, с регулируемым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механизмом толкателя для управления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фазой переноса. Регулировочно-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соединительные устройства на нагру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зку должны соответствовать весу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Получателя. Косметическая облицовка модульная должна быть из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пенополиуретана. Крепление должно осуществляться корсетом по слепку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 литьевого слоистого пластика на осн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ове акриловых смол. </w:t>
            </w:r>
          </w:p>
        </w:tc>
      </w:tr>
    </w:tbl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473C3" w:rsidRDefault="00B66A1D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Требования к </w:t>
      </w:r>
      <w:r w:rsidR="000473C3">
        <w:rPr>
          <w:rFonts w:ascii="Times New Roman" w:hAnsi="Times New Roman" w:cs="Times New Roman"/>
          <w:b/>
          <w:bCs/>
          <w:lang w:eastAsia="en-US"/>
        </w:rPr>
        <w:t>Изделиям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(пота, мочи).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к протезу и приобретения навыков ходьбы;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Издели</w:t>
      </w:r>
      <w:r w:rsidR="006E5AE0">
        <w:rPr>
          <w:rFonts w:ascii="Times New Roman" w:hAnsi="Times New Roman" w:cs="Times New Roman"/>
          <w:lang w:eastAsia="en-US"/>
        </w:rPr>
        <w:t>я</w:t>
      </w:r>
      <w:r>
        <w:rPr>
          <w:rFonts w:ascii="Times New Roman" w:hAnsi="Times New Roman" w:cs="Times New Roman"/>
          <w:lang w:eastAsia="en-US"/>
        </w:rPr>
        <w:t xml:space="preserve"> должн</w:t>
      </w:r>
      <w:r w:rsidR="006E5AE0">
        <w:rPr>
          <w:rFonts w:ascii="Times New Roman" w:hAnsi="Times New Roman" w:cs="Times New Roman"/>
          <w:lang w:eastAsia="en-US"/>
        </w:rPr>
        <w:t>ы</w:t>
      </w:r>
      <w:r>
        <w:rPr>
          <w:rFonts w:ascii="Times New Roman" w:hAnsi="Times New Roman" w:cs="Times New Roman"/>
          <w:lang w:eastAsia="en-US"/>
        </w:rPr>
        <w:t xml:space="preserve"> иметь документ, подтверждающий </w:t>
      </w:r>
      <w:r w:rsidR="006E5AE0">
        <w:rPr>
          <w:rFonts w:ascii="Times New Roman" w:hAnsi="Times New Roman" w:cs="Times New Roman"/>
          <w:lang w:eastAsia="en-US"/>
        </w:rPr>
        <w:t>их</w:t>
      </w:r>
      <w:r>
        <w:rPr>
          <w:rFonts w:ascii="Times New Roman" w:hAnsi="Times New Roman" w:cs="Times New Roman"/>
          <w:lang w:eastAsia="en-US"/>
        </w:rPr>
        <w:t xml:space="preserve"> соответствие обязательным требованиям – декларацию в соответствии с постановлением Правительства РФ от 01.12.2009г. № 982 или сертификат соответствия.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0473C3" w:rsidRDefault="000473C3" w:rsidP="000473C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Изделия должны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0473C3" w:rsidRDefault="000473C3" w:rsidP="00696F9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пользования Изделиями должен составлять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</w:t>
      </w:r>
      <w:r w:rsidR="00EE0E94">
        <w:rPr>
          <w:rFonts w:ascii="Times New Roman" w:eastAsia="Times New Roman" w:hAnsi="Times New Roman" w:cs="Times New Roman"/>
        </w:rPr>
        <w:t>ческими изделиями до их замены»:</w:t>
      </w:r>
    </w:p>
    <w:p w:rsidR="00C37B8C" w:rsidRPr="00210E18" w:rsidRDefault="00C37B8C" w:rsidP="00C37B8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E18">
        <w:rPr>
          <w:rFonts w:ascii="Times New Roman" w:hAnsi="Times New Roman" w:cs="Times New Roman"/>
          <w:sz w:val="22"/>
          <w:szCs w:val="22"/>
          <w:lang w:eastAsia="en-US"/>
        </w:rPr>
        <w:t>- Протез стопы - не менее 2 лет (для детей-инвалидов - не менее 1 года)</w:t>
      </w:r>
      <w:r w:rsidRPr="00210E18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C37B8C" w:rsidRPr="00210E18" w:rsidRDefault="00C37B8C" w:rsidP="00C37B8C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210E18">
        <w:rPr>
          <w:rFonts w:ascii="Times New Roman" w:hAnsi="Times New Roman" w:cs="Times New Roman"/>
          <w:lang w:eastAsia="ru-RU"/>
        </w:rPr>
        <w:t xml:space="preserve">- Протез голени лечебно-тренировочный - </w:t>
      </w:r>
      <w:r w:rsidRPr="00210E18">
        <w:rPr>
          <w:rFonts w:ascii="Times New Roman" w:hAnsi="Times New Roman" w:cs="Times New Roman"/>
          <w:lang w:eastAsia="en-US"/>
        </w:rPr>
        <w:t>не менее 1 года;</w:t>
      </w:r>
    </w:p>
    <w:p w:rsidR="00C37B8C" w:rsidRPr="00210E18" w:rsidRDefault="00C37B8C" w:rsidP="00C37B8C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210E18">
        <w:rPr>
          <w:rFonts w:ascii="Times New Roman" w:hAnsi="Times New Roman" w:cs="Times New Roman"/>
          <w:lang w:eastAsia="en-US"/>
        </w:rPr>
        <w:t>- Протез голени модульного типа, в том числе при недоразвитии - не менее 2 лет (для детей-инвалидов - не менее 1 года);</w:t>
      </w:r>
    </w:p>
    <w:p w:rsidR="00C37B8C" w:rsidRPr="00210E18" w:rsidRDefault="00C37B8C" w:rsidP="00C37B8C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210E18">
        <w:rPr>
          <w:rFonts w:ascii="Times New Roman" w:hAnsi="Times New Roman" w:cs="Times New Roman"/>
          <w:lang w:eastAsia="en-US"/>
        </w:rPr>
        <w:t xml:space="preserve">- </w:t>
      </w:r>
      <w:r w:rsidRPr="00210E18">
        <w:rPr>
          <w:rFonts w:ascii="Times New Roman" w:hAnsi="Times New Roman" w:cs="Times New Roman"/>
          <w:lang w:eastAsia="ru-RU"/>
        </w:rPr>
        <w:t xml:space="preserve">Протез голени для купания - </w:t>
      </w:r>
      <w:r w:rsidRPr="00210E18">
        <w:rPr>
          <w:rFonts w:ascii="Times New Roman" w:hAnsi="Times New Roman" w:cs="Times New Roman"/>
          <w:lang w:eastAsia="en-US"/>
        </w:rPr>
        <w:t>не менее 3 лет (для детей-инвалидов - не менее 1 года);</w:t>
      </w:r>
    </w:p>
    <w:p w:rsidR="00210E18" w:rsidRDefault="00210E18" w:rsidP="00210E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Протез голени немодульный, в том числе при врожденном недоразвитии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н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е менее 2 лет (для детей-инвалидов - не менее 1 года)</w:t>
      </w:r>
    </w:p>
    <w:p w:rsidR="00C37B8C" w:rsidRPr="00210E18" w:rsidRDefault="00C37B8C" w:rsidP="00C37B8C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210E18">
        <w:rPr>
          <w:rFonts w:ascii="Times New Roman" w:hAnsi="Times New Roman" w:cs="Times New Roman"/>
          <w:lang w:eastAsia="en-US"/>
        </w:rPr>
        <w:t>- Протез бедра лечебно-тренировочный - не менее 1 года;</w:t>
      </w:r>
    </w:p>
    <w:p w:rsidR="00C37B8C" w:rsidRPr="00210E18" w:rsidRDefault="00C37B8C" w:rsidP="00C37B8C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210E18">
        <w:rPr>
          <w:rFonts w:ascii="Times New Roman" w:hAnsi="Times New Roman" w:cs="Times New Roman"/>
          <w:sz w:val="22"/>
          <w:szCs w:val="22"/>
          <w:lang w:eastAsia="en-US"/>
        </w:rPr>
        <w:t>- Протез бедра модульный - н</w:t>
      </w:r>
      <w:r w:rsidRPr="00210E18">
        <w:rPr>
          <w:rFonts w:ascii="Times New Roman" w:eastAsia="Times New Roman" w:hAnsi="Times New Roman" w:cs="Times New Roman"/>
          <w:sz w:val="22"/>
          <w:szCs w:val="22"/>
          <w:lang w:eastAsia="en-US"/>
        </w:rPr>
        <w:t>е менее 2 лет (для детей-инвалидов - не менее 1 года)</w:t>
      </w:r>
      <w:r w:rsidRPr="00210E18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C37B8C" w:rsidRDefault="00C37B8C" w:rsidP="00C37B8C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210E18">
        <w:rPr>
          <w:rFonts w:ascii="Times New Roman" w:hAnsi="Times New Roman" w:cs="Times New Roman"/>
          <w:sz w:val="22"/>
          <w:szCs w:val="22"/>
          <w:lang w:eastAsia="en-US"/>
        </w:rPr>
        <w:t>- Протез бедра для купания - не менее 3 лет;</w:t>
      </w:r>
    </w:p>
    <w:p w:rsidR="00210E18" w:rsidRDefault="00210E18" w:rsidP="00210E1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Протез при вычленении бедра модульный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н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е менее 2 лет (для детей-инвалидов - не менее 1 года)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210E18" w:rsidRDefault="00210E18" w:rsidP="00210E1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210E18" w:rsidRPr="00210E18" w:rsidRDefault="00210E18" w:rsidP="00C37B8C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C37B8C" w:rsidRPr="00210E18" w:rsidRDefault="00C37B8C" w:rsidP="00C37B8C">
      <w:pPr>
        <w:pStyle w:val="15"/>
        <w:jc w:val="both"/>
        <w:rPr>
          <w:rFonts w:cs="Times New Roman"/>
          <w:lang w:eastAsia="ru-RU"/>
        </w:rPr>
      </w:pPr>
      <w:r w:rsidRPr="00210E18">
        <w:rPr>
          <w:rFonts w:ascii="Times New Roman" w:hAnsi="Times New Roman" w:cs="Times New Roman"/>
          <w:lang w:eastAsia="en-US"/>
        </w:rPr>
        <w:t>.</w:t>
      </w:r>
    </w:p>
    <w:p w:rsidR="00EE0E94" w:rsidRPr="00210E18" w:rsidRDefault="00EE0E94" w:rsidP="00696F9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EE0E94" w:rsidRPr="00210E18" w:rsidSect="00EE0E94">
      <w:footerReference w:type="default" r:id="rId8"/>
      <w:headerReference w:type="first" r:id="rId9"/>
      <w:footerReference w:type="first" r:id="rId10"/>
      <w:pgSz w:w="11906" w:h="16838"/>
      <w:pgMar w:top="851" w:right="707" w:bottom="1034" w:left="79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79654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39">
          <w:rPr>
            <w:noProof/>
          </w:rPr>
          <w:t>4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0C7E"/>
    <w:rsid w:val="000316FB"/>
    <w:rsid w:val="000473C3"/>
    <w:rsid w:val="00047EC1"/>
    <w:rsid w:val="00051A6F"/>
    <w:rsid w:val="000821E6"/>
    <w:rsid w:val="000B4E6A"/>
    <w:rsid w:val="000C3232"/>
    <w:rsid w:val="000C6454"/>
    <w:rsid w:val="000C7F9A"/>
    <w:rsid w:val="00102349"/>
    <w:rsid w:val="001270FC"/>
    <w:rsid w:val="00135A3D"/>
    <w:rsid w:val="00136502"/>
    <w:rsid w:val="00154D0E"/>
    <w:rsid w:val="0016740C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644A"/>
    <w:rsid w:val="001E234B"/>
    <w:rsid w:val="001E7442"/>
    <w:rsid w:val="002032AC"/>
    <w:rsid w:val="00205BFE"/>
    <w:rsid w:val="00210E18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76EA"/>
    <w:rsid w:val="002A744C"/>
    <w:rsid w:val="002C0A48"/>
    <w:rsid w:val="002C3BA7"/>
    <w:rsid w:val="002C553B"/>
    <w:rsid w:val="002C6263"/>
    <w:rsid w:val="002D3595"/>
    <w:rsid w:val="002E2752"/>
    <w:rsid w:val="002E5ABE"/>
    <w:rsid w:val="002E7D75"/>
    <w:rsid w:val="002F221F"/>
    <w:rsid w:val="00304BAB"/>
    <w:rsid w:val="0030634A"/>
    <w:rsid w:val="00331ACE"/>
    <w:rsid w:val="003476F8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65D38"/>
    <w:rsid w:val="004779E5"/>
    <w:rsid w:val="0048673D"/>
    <w:rsid w:val="00493B20"/>
    <w:rsid w:val="004A3F1C"/>
    <w:rsid w:val="004C774E"/>
    <w:rsid w:val="004D286D"/>
    <w:rsid w:val="004F5570"/>
    <w:rsid w:val="005505AA"/>
    <w:rsid w:val="005626CC"/>
    <w:rsid w:val="0057064D"/>
    <w:rsid w:val="005729D4"/>
    <w:rsid w:val="00583D7E"/>
    <w:rsid w:val="005876BA"/>
    <w:rsid w:val="00596398"/>
    <w:rsid w:val="00596821"/>
    <w:rsid w:val="005D0CD7"/>
    <w:rsid w:val="005D21AA"/>
    <w:rsid w:val="005E4D98"/>
    <w:rsid w:val="006125F8"/>
    <w:rsid w:val="00654333"/>
    <w:rsid w:val="00665D9A"/>
    <w:rsid w:val="0068704F"/>
    <w:rsid w:val="006879CC"/>
    <w:rsid w:val="00694214"/>
    <w:rsid w:val="00696F95"/>
    <w:rsid w:val="00697A51"/>
    <w:rsid w:val="006A075D"/>
    <w:rsid w:val="006B7297"/>
    <w:rsid w:val="006C3F72"/>
    <w:rsid w:val="006D7F53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722C"/>
    <w:rsid w:val="007A0258"/>
    <w:rsid w:val="007A1BBE"/>
    <w:rsid w:val="007A41FA"/>
    <w:rsid w:val="007B7AD2"/>
    <w:rsid w:val="007D4618"/>
    <w:rsid w:val="007D69A8"/>
    <w:rsid w:val="007E44CA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5616"/>
    <w:rsid w:val="00856C35"/>
    <w:rsid w:val="008625DE"/>
    <w:rsid w:val="00867F9F"/>
    <w:rsid w:val="008721BB"/>
    <w:rsid w:val="00873F34"/>
    <w:rsid w:val="00882699"/>
    <w:rsid w:val="00885763"/>
    <w:rsid w:val="008908EA"/>
    <w:rsid w:val="008C5EF4"/>
    <w:rsid w:val="008C69B8"/>
    <w:rsid w:val="008D3ABB"/>
    <w:rsid w:val="008E1F9E"/>
    <w:rsid w:val="008E648F"/>
    <w:rsid w:val="009209D5"/>
    <w:rsid w:val="0094012A"/>
    <w:rsid w:val="00942F9E"/>
    <w:rsid w:val="009517F6"/>
    <w:rsid w:val="00966460"/>
    <w:rsid w:val="009916C5"/>
    <w:rsid w:val="009A41C6"/>
    <w:rsid w:val="009B4D1F"/>
    <w:rsid w:val="009C4A13"/>
    <w:rsid w:val="009C5EEB"/>
    <w:rsid w:val="009D35D4"/>
    <w:rsid w:val="009D4C82"/>
    <w:rsid w:val="00A00A7F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114EF"/>
    <w:rsid w:val="00B135A6"/>
    <w:rsid w:val="00B226CC"/>
    <w:rsid w:val="00B3173E"/>
    <w:rsid w:val="00B511CB"/>
    <w:rsid w:val="00B55741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37B8C"/>
    <w:rsid w:val="00C42BE2"/>
    <w:rsid w:val="00C541C0"/>
    <w:rsid w:val="00C5749F"/>
    <w:rsid w:val="00C83777"/>
    <w:rsid w:val="00C90139"/>
    <w:rsid w:val="00CA6ED3"/>
    <w:rsid w:val="00CA743F"/>
    <w:rsid w:val="00CA756A"/>
    <w:rsid w:val="00CB1B9D"/>
    <w:rsid w:val="00CC3339"/>
    <w:rsid w:val="00CC3A5B"/>
    <w:rsid w:val="00CC3EA2"/>
    <w:rsid w:val="00CE3CA0"/>
    <w:rsid w:val="00D12D44"/>
    <w:rsid w:val="00D178CA"/>
    <w:rsid w:val="00D23B08"/>
    <w:rsid w:val="00D30D77"/>
    <w:rsid w:val="00D31336"/>
    <w:rsid w:val="00D41C76"/>
    <w:rsid w:val="00D47CD6"/>
    <w:rsid w:val="00D6253D"/>
    <w:rsid w:val="00D851BC"/>
    <w:rsid w:val="00D97C9D"/>
    <w:rsid w:val="00DB0300"/>
    <w:rsid w:val="00DB655B"/>
    <w:rsid w:val="00DB765D"/>
    <w:rsid w:val="00DC26F2"/>
    <w:rsid w:val="00DC3D04"/>
    <w:rsid w:val="00DC5B06"/>
    <w:rsid w:val="00DD2BF4"/>
    <w:rsid w:val="00E06F99"/>
    <w:rsid w:val="00E14194"/>
    <w:rsid w:val="00E2507F"/>
    <w:rsid w:val="00E375CA"/>
    <w:rsid w:val="00E455F7"/>
    <w:rsid w:val="00E476E9"/>
    <w:rsid w:val="00E61AD6"/>
    <w:rsid w:val="00E94F14"/>
    <w:rsid w:val="00EC7932"/>
    <w:rsid w:val="00ED0971"/>
    <w:rsid w:val="00EE0E94"/>
    <w:rsid w:val="00EF0327"/>
    <w:rsid w:val="00EF4F88"/>
    <w:rsid w:val="00F11F92"/>
    <w:rsid w:val="00F21627"/>
    <w:rsid w:val="00F31A5A"/>
    <w:rsid w:val="00F34B88"/>
    <w:rsid w:val="00F41172"/>
    <w:rsid w:val="00F5674E"/>
    <w:rsid w:val="00F67612"/>
    <w:rsid w:val="00F73E1A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45505BD-85BE-43C5-81C1-AB3E3B5B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Салтыкова Ксения Алексеевна</cp:lastModifiedBy>
  <cp:revision>28</cp:revision>
  <cp:lastPrinted>2019-05-28T13:18:00Z</cp:lastPrinted>
  <dcterms:created xsi:type="dcterms:W3CDTF">2019-04-17T08:01:00Z</dcterms:created>
  <dcterms:modified xsi:type="dcterms:W3CDTF">2019-12-12T14:38:00Z</dcterms:modified>
</cp:coreProperties>
</file>