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Техническое задание</w:t>
      </w:r>
    </w:p>
    <w:p>
      <w:pPr>
        <w:keepNext w:val="true"/>
        <w:keepLines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выполнение работ по изготовлению протезно ортопедических изделий (аппараты) </w:t>
      </w:r>
    </w:p>
    <w:p>
      <w:pPr>
        <w:keepNext w:val="true"/>
        <w:keepLines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обеспечения в 2020 году инвалидов</w:t>
      </w:r>
    </w:p>
    <w:p>
      <w:pPr>
        <w:keepNext w:val="true"/>
        <w:keepLines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tbl>
      <w:tblPr/>
      <w:tblGrid>
        <w:gridCol w:w="1371"/>
        <w:gridCol w:w="8139"/>
        <w:gridCol w:w="1040"/>
      </w:tblGrid>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изделия</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Функциональная характеристика изделия</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Кол-во (шт.)</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на голеностопный сустав</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Аппарат ортопедический на голеностопный сустав, гильза голени и башмачок кожаные, изготовлен по индивидуальному слепку, голеностопный шарнир, подклад - лайка, крепление шнуровкой или лентой контактной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велькро</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Гарантийный срок не менее 7 месяцев.</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20</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Аппарат на коленный сустав</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Аппарат ортопедический на коленный сустав, гильза из эластичной ткани, коленные шарниры 1-2-осные, крепление застежкой контакт через поворотные петли. Изготавливается с индивидуальной  примеркой и подгонкой.   Гарантийный срок не менее  40 дней.</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40</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на коленный сустав</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ортопедический на коленный сустав по индивидуальному слепку. Гильзы бедра и голени из кожи, термопластов, слоистого пластика на основе ортокриловой смолы; шины с замком или без замка в коленном шарнире; смягчающий слой из вспененного материала или без него; выклеен лайкой или без нее, крепление на шнуровке или застежкой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контакт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Гарантийный срок не менее 7 месяцев.</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Аппарат на всю ногу</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Аппарат на всю ногу с двойным следом,  изготовлен по индивидуальному слепку. </w:t>
            </w:r>
            <w:r>
              <w:rPr>
                <w:rFonts w:ascii="Times New Roman" w:hAnsi="Times New Roman" w:cs="Times New Roman" w:eastAsia="Times New Roman"/>
                <w:color w:val="auto"/>
                <w:spacing w:val="0"/>
                <w:position w:val="0"/>
                <w:sz w:val="22"/>
                <w:shd w:fill="auto" w:val="clear"/>
              </w:rPr>
              <w:t xml:space="preserve"> Гильза кожаная, из термопласта или слоистого пластика, со смягчающим слоем из вспененных материалов или без него, с выклейкой или без нее, гильза скелетированная отверстиями или окнами, полукольца, металлический вертлуг или без него, с замком или без замка в коленном шарнире, шины стальные или из легких сплавов, стопа, крепление поясное или бандажное. Гарантийный срок не менее  7</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на всю ногу</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ортопедический на всю ногу по индивидуальному слепку, гильза кожаная, из термопласта или слоистого пластика, со смягчающим слоем из вспененных материалов или без него, с выклейкой или без нее, гильза скелетированная отверстиями или окнами, полукольца, металлический вертлуг или без него, с замком или без замка в коленном шарнире, шины стальные или из легких сплавов, крепление поясное или бандажное. Гарантийный срок не менее 7 месяцев.</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39</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на всю ногу</w:t>
            </w:r>
          </w:p>
          <w:p>
            <w:pPr>
              <w:keepNext w:val="true"/>
              <w:keepLines w:val="true"/>
              <w:suppressAutoHyphens w:val="true"/>
              <w:spacing w:before="0" w:after="0" w:line="240"/>
              <w:ind w:right="-22" w:left="0" w:firstLine="0"/>
              <w:jc w:val="left"/>
              <w:rPr>
                <w:color w:val="auto"/>
                <w:spacing w:val="0"/>
                <w:position w:val="0"/>
                <w:sz w:val="22"/>
                <w:shd w:fill="auto" w:val="clear"/>
              </w:rPr>
            </w:pP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22"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Аппарат ортопедический на всю ногу, изготавливается по индивидуальному слепку,  гильза из кожи, термопласта или слоистого пластика,  гильза скелетированная отверстиями или окнами,  пояс или без него, металлический вертлуг или без него.  Модули шин и шарниров (замковых, беззамковых),  выполнены из нержавеющей стали. Крепление контактной лентой  или шнуровкой.   Изготавливается с индивидуальной  примеркой и подгонкой. Гарантийный срок не менее 7 месяцев.</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22"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на всю ногу</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22" w:left="0" w:firstLine="0"/>
              <w:jc w:val="both"/>
              <w:rPr>
                <w:color w:val="auto"/>
                <w:spacing w:val="0"/>
                <w:position w:val="0"/>
                <w:sz w:val="22"/>
              </w:rPr>
            </w:pPr>
            <w:r>
              <w:rPr>
                <w:rFonts w:ascii="Times New Roman" w:hAnsi="Times New Roman" w:cs="Times New Roman" w:eastAsia="Times New Roman"/>
                <w:color w:val="auto"/>
                <w:spacing w:val="0"/>
                <w:position w:val="0"/>
                <w:sz w:val="22"/>
                <w:shd w:fill="FFFFFF" w:val="clear"/>
              </w:rPr>
              <w:t xml:space="preserve">Аппарат на всю ногу модульный из углепластика. Шины боковые углепластиковые, полукольца углепластиковые. Коленный узел –модуль (замковый,  беззамковый). Шарнир голеностопный, шины голеностопные стальные. Застежки типа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Контакт</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Башмачок из пластика с подвижной или неподвижной щиколоткой или ботинок, жестко соединенный со стремечками в зависимости от медицинских показаний. Внутренние поверхности шин и полуколец могут быть обклеены пластазотом или другим аналогичным материалом. Изготавливается с индивидуальной  примеркой и подгонкой. Гарантийный срок не менее 6  месяцев</w:t>
            </w: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r>
      <w:tr>
        <w:trPr>
          <w:trHeight w:val="6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22"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Аппарат на нижние конечности и туловище (ортез)</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Ортезная система для активной реабилитации лиц с параличом нижних конечностей, включающая в себя аппараты ортопедические на нижние конечности и ортопедический корсет. Система обеспечивает опороспособность пораженных конечностей с одновременным удержанием их в заданном положении с частичной разгрузкой, сохраняя подвижность в неповрежденных суставах, необходимую при ходьбе. </w:t>
            </w:r>
            <w:r>
              <w:rPr>
                <w:rFonts w:ascii="Times New Roman" w:hAnsi="Times New Roman" w:cs="Times New Roman" w:eastAsia="Times New Roman"/>
                <w:color w:val="auto"/>
                <w:spacing w:val="0"/>
                <w:position w:val="0"/>
                <w:sz w:val="22"/>
                <w:shd w:fill="FFFFFF" w:val="clear"/>
              </w:rPr>
              <w:t xml:space="preserve">Изготавливается с индивидуальной  примеркой и подгонкой. </w:t>
            </w:r>
            <w:r>
              <w:rPr>
                <w:rFonts w:ascii="Times New Roman" w:hAnsi="Times New Roman" w:cs="Times New Roman" w:eastAsia="Times New Roman"/>
                <w:color w:val="auto"/>
                <w:spacing w:val="0"/>
                <w:position w:val="0"/>
                <w:sz w:val="22"/>
                <w:shd w:fill="auto" w:val="clear"/>
              </w:rPr>
              <w:t xml:space="preserve">Гарантийный срок не менее 6 месяцев. </w:t>
            </w:r>
          </w:p>
          <w:p>
            <w:pPr>
              <w:keepNext w:val="true"/>
              <w:keepLines w:val="true"/>
              <w:spacing w:before="0" w:after="0" w:line="240"/>
              <w:ind w:right="0" w:left="0" w:firstLine="0"/>
              <w:jc w:val="both"/>
              <w:rPr>
                <w:color w:val="auto"/>
                <w:spacing w:val="0"/>
                <w:position w:val="0"/>
                <w:sz w:val="22"/>
              </w:rPr>
            </w:pP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r>
      <w:tr>
        <w:trPr>
          <w:trHeight w:val="173" w:hRule="auto"/>
          <w:jc w:val="center"/>
        </w:trPr>
        <w:tc>
          <w:tcPr>
            <w:tcW w:w="137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Итого:</w:t>
            </w:r>
          </w:p>
        </w:tc>
        <w:tc>
          <w:tcPr>
            <w:tcW w:w="813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0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keepNext w:val="true"/>
              <w:keepLines w:val="true"/>
              <w:suppressAutoHyphens w:val="true"/>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115</w:t>
            </w:r>
          </w:p>
        </w:tc>
      </w:tr>
    </w:tbl>
    <w:p>
      <w:pPr>
        <w:keepNext w:val="true"/>
        <w:keepLines w:val="true"/>
        <w:spacing w:before="0" w:after="0" w:line="240"/>
        <w:ind w:right="28" w:left="0" w:firstLine="426"/>
        <w:jc w:val="both"/>
        <w:rPr>
          <w:rFonts w:ascii="Times New Roman" w:hAnsi="Times New Roman" w:cs="Times New Roman" w:eastAsia="Times New Roman"/>
          <w:color w:val="auto"/>
          <w:spacing w:val="0"/>
          <w:position w:val="0"/>
          <w:sz w:val="22"/>
          <w:shd w:fill="FFFFFF" w:val="clear"/>
        </w:rPr>
      </w:pPr>
    </w:p>
    <w:p>
      <w:pPr>
        <w:keepNext w:val="true"/>
        <w:keepLines w:val="true"/>
        <w:spacing w:before="0" w:after="0" w:line="240"/>
        <w:ind w:right="28"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Срок пользования изделиями устанавливается в соответствии с Приказом Министерства труда и социальной защиты Российской Федерации от 13.02.2018 г. № 85н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Об утверждении сроков пользования техническими средствами реабилитации, протезами и протезно-ортопедическими изделиями до их замены</w:t>
      </w:r>
      <w:r>
        <w:rPr>
          <w:rFonts w:ascii="Times New Roman" w:hAnsi="Times New Roman" w:cs="Times New Roman" w:eastAsia="Times New Roman"/>
          <w:color w:val="auto"/>
          <w:spacing w:val="0"/>
          <w:position w:val="0"/>
          <w:sz w:val="22"/>
          <w:shd w:fill="FFFFFF" w:val="clear"/>
        </w:rPr>
        <w:t xml:space="preserve">».</w:t>
      </w:r>
    </w:p>
    <w:p>
      <w:pPr>
        <w:keepNext w:val="true"/>
        <w:keepLines w:val="true"/>
        <w:spacing w:before="0" w:after="0" w:line="240"/>
        <w:ind w:right="28"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Р ИСО 9999-2014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Вспомогательные средства для людей с ограничениями жизнедеятельности. Классификация и терминология</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Государственного стандарта Российской Федерации ГОСТ Р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FFFFFF" w:val="clear"/>
          </w:rPr>
          <w:t xml:space="preserve">51819-2017</w:t>
        </w:r>
      </w:hyperlink>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Протезирование и ортезирование верхних и нижних конечностей. Термины и определения</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Межгосударственного стандарта ГОСТ ИСО 10993-1-2011 </w:t>
      </w:r>
      <w:r>
        <w:rPr>
          <w:rFonts w:ascii="Times New Roman" w:hAnsi="Times New Roman" w:cs="Times New Roman" w:eastAsia="Times New Roman"/>
          <w:color w:val="auto"/>
          <w:spacing w:val="0"/>
          <w:position w:val="0"/>
          <w:sz w:val="22"/>
          <w:shd w:fill="FFFFFF" w:val="clear"/>
        </w:rPr>
        <w:t xml:space="preserve">«</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FFFFFF" w:val="clear"/>
          </w:rPr>
          <w:t xml:space="preserve">Изделия медицинские. Оценка биологического действия медицинских изделий. Часть 1. Оценка и исследования</w:t>
        </w:r>
      </w:hyperlink>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ГОСТ ИСО 10993-5-2011 </w:t>
      </w:r>
      <w:r>
        <w:rPr>
          <w:rFonts w:ascii="Times New Roman" w:hAnsi="Times New Roman" w:cs="Times New Roman" w:eastAsia="Times New Roman"/>
          <w:color w:val="auto"/>
          <w:spacing w:val="0"/>
          <w:position w:val="0"/>
          <w:sz w:val="22"/>
          <w:shd w:fill="FFFFFF" w:val="clear"/>
        </w:rPr>
        <w:t xml:space="preserve">«</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FFFFFF" w:val="clear"/>
          </w:rPr>
          <w:t xml:space="preserve">Изделия медицинские. Оценка биологического действия медицинских изделий. Часть 5. Исследования на </w:t>
        </w:r>
        <w:r>
          <w:rPr>
            <w:rFonts w:ascii="Times New Roman" w:hAnsi="Times New Roman" w:cs="Times New Roman" w:eastAsia="Times New Roman"/>
            <w:vanish/>
            <w:color w:val="0000FF"/>
            <w:spacing w:val="0"/>
            <w:position w:val="0"/>
            <w:sz w:val="22"/>
            <w:u w:val="single"/>
            <w:shd w:fill="FFFFFF" w:val="clear"/>
          </w:rPr>
          <w:t xml:space="preserve">HYPERLINK "https://www.rags.ru/gosts/gost/52914/"</w:t>
        </w:r>
        <w:r>
          <w:rPr>
            <w:rFonts w:ascii="Times New Roman" w:hAnsi="Times New Roman" w:cs="Times New Roman" w:eastAsia="Times New Roman"/>
            <w:color w:val="0000FF"/>
            <w:spacing w:val="0"/>
            <w:position w:val="0"/>
            <w:sz w:val="22"/>
            <w:u w:val="single"/>
            <w:shd w:fill="FFFFFF" w:val="clear"/>
          </w:rPr>
          <w:t xml:space="preserve">цитотоксичность</w:t>
        </w:r>
        <w:r>
          <w:rPr>
            <w:rFonts w:ascii="Times New Roman" w:hAnsi="Times New Roman" w:cs="Times New Roman" w:eastAsia="Times New Roman"/>
            <w:vanish/>
            <w:color w:val="0000FF"/>
            <w:spacing w:val="0"/>
            <w:position w:val="0"/>
            <w:sz w:val="22"/>
            <w:u w:val="single"/>
            <w:shd w:fill="FFFFFF" w:val="clear"/>
          </w:rPr>
          <w:t xml:space="preserve">HYPERLINK "https://www.rags.ru/gosts/gost/52914/"</w:t>
        </w:r>
        <w:r>
          <w:rPr>
            <w:rFonts w:ascii="Times New Roman" w:hAnsi="Times New Roman" w:cs="Times New Roman" w:eastAsia="Times New Roman"/>
            <w:color w:val="0000FF"/>
            <w:spacing w:val="0"/>
            <w:position w:val="0"/>
            <w:sz w:val="22"/>
            <w:u w:val="single"/>
            <w:shd w:fill="FFFFFF" w:val="clear"/>
          </w:rPr>
          <w:t xml:space="preserve">: методы </w:t>
        </w:r>
        <w:r>
          <w:rPr>
            <w:rFonts w:ascii="Times New Roman" w:hAnsi="Times New Roman" w:cs="Times New Roman" w:eastAsia="Times New Roman"/>
            <w:vanish/>
            <w:color w:val="0000FF"/>
            <w:spacing w:val="0"/>
            <w:position w:val="0"/>
            <w:sz w:val="22"/>
            <w:u w:val="single"/>
            <w:shd w:fill="FFFFFF" w:val="clear"/>
          </w:rPr>
          <w:t xml:space="preserve">HYPERLINK "https://www.rags.ru/gosts/gost/52914/"</w:t>
        </w:r>
        <w:r>
          <w:rPr>
            <w:rFonts w:ascii="Times New Roman" w:hAnsi="Times New Roman" w:cs="Times New Roman" w:eastAsia="Times New Roman"/>
            <w:color w:val="0000FF"/>
            <w:spacing w:val="0"/>
            <w:position w:val="0"/>
            <w:sz w:val="22"/>
            <w:u w:val="single"/>
            <w:shd w:fill="FFFFFF" w:val="clear"/>
          </w:rPr>
          <w:t xml:space="preserve">in</w:t>
        </w:r>
        <w:r>
          <w:rPr>
            <w:rFonts w:ascii="Times New Roman" w:hAnsi="Times New Roman" w:cs="Times New Roman" w:eastAsia="Times New Roman"/>
            <w:vanish/>
            <w:color w:val="0000FF"/>
            <w:spacing w:val="0"/>
            <w:position w:val="0"/>
            <w:sz w:val="22"/>
            <w:u w:val="single"/>
            <w:shd w:fill="FFFFFF" w:val="clear"/>
          </w:rPr>
          <w:t xml:space="preserve">HYPERLINK "https://www.rags.ru/gosts/gost/52914/"</w:t>
        </w:r>
        <w:r>
          <w:rPr>
            <w:rFonts w:ascii="Times New Roman" w:hAnsi="Times New Roman" w:cs="Times New Roman" w:eastAsia="Times New Roman"/>
            <w:color w:val="0000FF"/>
            <w:spacing w:val="0"/>
            <w:position w:val="0"/>
            <w:sz w:val="22"/>
            <w:u w:val="single"/>
            <w:shd w:fill="FFFFFF" w:val="clear"/>
          </w:rPr>
          <w:t xml:space="preserve"> </w:t>
        </w:r>
        <w:r>
          <w:rPr>
            <w:rFonts w:ascii="Times New Roman" w:hAnsi="Times New Roman" w:cs="Times New Roman" w:eastAsia="Times New Roman"/>
            <w:vanish/>
            <w:color w:val="0000FF"/>
            <w:spacing w:val="0"/>
            <w:position w:val="0"/>
            <w:sz w:val="22"/>
            <w:u w:val="single"/>
            <w:shd w:fill="FFFFFF" w:val="clear"/>
          </w:rPr>
          <w:t xml:space="preserve">HYPERLINK "https://www.rags.ru/gosts/gost/52914/"</w:t>
        </w:r>
        <w:r>
          <w:rPr>
            <w:rFonts w:ascii="Times New Roman" w:hAnsi="Times New Roman" w:cs="Times New Roman" w:eastAsia="Times New Roman"/>
            <w:color w:val="0000FF"/>
            <w:spacing w:val="0"/>
            <w:position w:val="0"/>
            <w:sz w:val="22"/>
            <w:u w:val="single"/>
            <w:shd w:fill="FFFFFF" w:val="clear"/>
          </w:rPr>
          <w:t xml:space="preserve">vitro</w:t>
        </w:r>
      </w:hyperlink>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ГОСТ ИСО 10993-10-2011 </w:t>
      </w:r>
      <w:r>
        <w:rPr>
          <w:rFonts w:ascii="Times New Roman" w:hAnsi="Times New Roman" w:cs="Times New Roman" w:eastAsia="Times New Roman"/>
          <w:color w:val="auto"/>
          <w:spacing w:val="0"/>
          <w:position w:val="0"/>
          <w:sz w:val="22"/>
          <w:shd w:fill="FFFFFF" w:val="clear"/>
        </w:rPr>
        <w:t xml:space="preserve">«</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FFFFFF" w:val="clear"/>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w:t>
        </w:r>
      </w:hyperlink>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ГОСТ Р 52770-2016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Изделия медицинские. Требования безопасности. Методы санитарно-химических и токсикологических испытаний</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Национального стандарта Российской Федерации ГОСТ Р 51632-2014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Технические средства реабилитации людей с ограничениями жизнедеятельности. Общие технические требования и методы испытаний</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ГОСТ Р ИСО 22523-2007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Протезы конечностей и ортезы наружные. Требования и методы испытаний</w:t>
      </w:r>
      <w:r>
        <w:rPr>
          <w:rFonts w:ascii="Times New Roman" w:hAnsi="Times New Roman" w:cs="Times New Roman" w:eastAsia="Times New Roman"/>
          <w:color w:val="auto"/>
          <w:spacing w:val="0"/>
          <w:position w:val="0"/>
          <w:sz w:val="22"/>
          <w:shd w:fill="FFFFFF" w:val="clear"/>
        </w:rPr>
        <w:t xml:space="preserve">». </w:t>
      </w:r>
    </w:p>
    <w:p>
      <w:pPr>
        <w:keepNext w:val="true"/>
        <w:keepLines w:val="true"/>
        <w:spacing w:before="0" w:after="0" w:line="240"/>
        <w:ind w:right="28"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pPr>
        <w:keepNext w:val="true"/>
        <w:keepLines w:val="true"/>
        <w:spacing w:before="0" w:after="0" w:line="240"/>
        <w:ind w:right="28"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безопасность для кожных покровов;</w:t>
      </w:r>
    </w:p>
    <w:p>
      <w:pPr>
        <w:keepNext w:val="true"/>
        <w:keepLines w:val="true"/>
        <w:tabs>
          <w:tab w:val="left" w:pos="1215" w:leader="none"/>
        </w:tabs>
        <w:spacing w:before="0" w:after="0" w:line="240"/>
        <w:ind w:right="28"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эстетичность;</w:t>
      </w:r>
    </w:p>
    <w:p>
      <w:pPr>
        <w:keepNext w:val="true"/>
        <w:keepLines w:val="true"/>
        <w:tabs>
          <w:tab w:val="left" w:pos="1215" w:leader="none"/>
        </w:tabs>
        <w:spacing w:before="0" w:after="0" w:line="240"/>
        <w:ind w:right="28"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простота пользования.</w:t>
      </w:r>
    </w:p>
    <w:p>
      <w:pPr>
        <w:keepNext w:val="true"/>
        <w:keepLines w:val="true"/>
        <w:spacing w:before="0" w:after="0" w:line="240"/>
        <w:ind w:right="28"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Изделия не должны выделять при эксплуатации токсичных и агрессивных веществ и не должны оказывать раздражающего действия.</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Маркировка упаковки изделий должна включать:</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условное обозначение группы изделий, товарную марку (при наличии), обозначение номера изделия (при наличии);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страну-изготовителя;</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наименование предприятия-изготовителя, юридический адрес, товарный знак (при наличии);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отличительные характеристики изделий в соответствии с их техническим исполнением (при наличии);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номер артикула (при наличии);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количество изделий в упаковке;</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дату (месяц, год) изготовления или гарантийный срок годности (при наличии);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правила использования (при необходимости);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штриховой код изделия (при наличии);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информацию о сертификации (при наличии).</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Срок гарантийного ремонта со дня обращения Получателя не должен превышать 20 (двадцати) рабочих дней.</w:t>
      </w:r>
    </w:p>
    <w:p>
      <w:pPr>
        <w:keepNext w:val="true"/>
        <w:keepLines w:val="true"/>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pPr>
        <w:keepNext w:val="true"/>
        <w:keepLines w:val="true"/>
        <w:tabs>
          <w:tab w:val="left" w:pos="851" w:leader="none"/>
        </w:tabs>
        <w:suppressAutoHyphens w:val="true"/>
        <w:spacing w:before="0" w:after="0" w:line="240"/>
        <w:ind w:right="176"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 выполнения работ:</w:t>
      </w:r>
    </w:p>
    <w:p>
      <w:pPr>
        <w:keepNext w:val="true"/>
        <w:keepLines w:val="true"/>
        <w:suppressAutoHyphens w:val="true"/>
        <w:spacing w:before="0" w:after="0" w:line="240"/>
        <w:ind w:right="-39"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pPr>
        <w:keepNext w:val="true"/>
        <w:keepLines w:val="true"/>
        <w:tabs>
          <w:tab w:val="left" w:pos="851" w:leader="none"/>
        </w:tabs>
        <w:suppressAutoHyphens w:val="true"/>
        <w:spacing w:before="0" w:after="0" w:line="240"/>
        <w:ind w:right="176"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pPr>
        <w:keepNext w:val="true"/>
        <w:keepLines w:val="true"/>
        <w:tabs>
          <w:tab w:val="left" w:pos="851" w:leader="none"/>
        </w:tabs>
        <w:suppressAutoHyphens w:val="true"/>
        <w:spacing w:before="0" w:after="0" w:line="240"/>
        <w:ind w:right="176"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 выполнения работ:</w:t>
      </w:r>
    </w:p>
    <w:p>
      <w:pPr>
        <w:keepNext w:val="true"/>
        <w:keepLines w:val="true"/>
        <w:tabs>
          <w:tab w:val="left" w:pos="16776649" w:leader="none"/>
          <w:tab w:val="left" w:pos="3495" w:leader="none"/>
        </w:tabs>
        <w:suppressAutoHyphens w:val="true"/>
        <w:spacing w:before="0" w:after="0" w:line="240"/>
        <w:ind w:right="57"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Этапы поставки:</w:t>
      </w:r>
    </w:p>
    <w:p>
      <w:pPr>
        <w:keepNext w:val="true"/>
        <w:keepLines w:val="true"/>
        <w:tabs>
          <w:tab w:val="left" w:pos="851" w:leader="none"/>
        </w:tabs>
        <w:suppressAutoHyphens w:val="true"/>
        <w:spacing w:before="0" w:after="0" w:line="240"/>
        <w:ind w:right="176"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Со дня заключения государственного контракта до 01.07.2020 г. должно быть выполнено  не менее 80% общего объема работ (на сумму не менее 1 410 200,00 руб.)</w:t>
      </w:r>
    </w:p>
    <w:p>
      <w:pPr>
        <w:keepNext w:val="true"/>
        <w:keepLines w:val="true"/>
        <w:tabs>
          <w:tab w:val="left" w:pos="851" w:leader="none"/>
        </w:tabs>
        <w:suppressAutoHyphens w:val="true"/>
        <w:spacing w:before="0" w:after="0" w:line="240"/>
        <w:ind w:right="176"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До 10.08.2020 должно быть выполнено  100% общего объема работ (на сумму 1 926 000,00 руб.)</w:t>
      </w:r>
    </w:p>
    <w:p>
      <w:pPr>
        <w:keepNext w:val="true"/>
        <w:keepLines w:val="true"/>
        <w:tabs>
          <w:tab w:val="left" w:pos="851" w:leader="none"/>
        </w:tabs>
        <w:suppressAutoHyphens w:val="true"/>
        <w:spacing w:before="0" w:after="0" w:line="240"/>
        <w:ind w:right="176"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pPr>
        <w:keepNext w:val="true"/>
        <w:keepLines w:val="true"/>
        <w:tabs>
          <w:tab w:val="left" w:pos="0" w:leader="none"/>
        </w:tabs>
        <w:spacing w:before="0" w:after="0" w:line="240"/>
        <w:ind w:right="0" w:left="0" w:firstLine="426"/>
        <w:jc w:val="both"/>
        <w:rPr>
          <w:rFonts w:ascii="Times New Roman" w:hAnsi="Times New Roman" w:cs="Times New Roman" w:eastAsia="Times New Roman"/>
          <w:color w:val="auto"/>
          <w:spacing w:val="0"/>
          <w:position w:val="0"/>
          <w:sz w:val="22"/>
          <w:shd w:fill="FFFFFF" w:val="clear"/>
        </w:rPr>
      </w:pPr>
    </w:p>
    <w:p>
      <w:pPr>
        <w:keepNext w:val="true"/>
        <w:keepLines w:val="true"/>
        <w:tabs>
          <w:tab w:val="left" w:pos="0" w:leader="none"/>
        </w:tabs>
        <w:spacing w:before="0" w:after="0" w:line="240"/>
        <w:ind w:right="0" w:left="0" w:firstLine="426"/>
        <w:jc w:val="both"/>
        <w:rPr>
          <w:rFonts w:ascii="Times New Roman" w:hAnsi="Times New Roman" w:cs="Times New Roman" w:eastAsia="Times New Roman"/>
          <w:color w:val="auto"/>
          <w:spacing w:val="0"/>
          <w:position w:val="0"/>
          <w:sz w:val="22"/>
          <w:shd w:fill="FFFFFF" w:val="clear"/>
        </w:rPr>
      </w:pPr>
    </w:p>
    <w:p>
      <w:pPr>
        <w:keepNext w:val="true"/>
        <w:keepLines w:val="true"/>
        <w:tabs>
          <w:tab w:val="left" w:pos="0" w:leader="none"/>
        </w:tabs>
        <w:spacing w:before="0" w:after="0" w:line="240"/>
        <w:ind w:right="0" w:left="0" w:firstLine="426"/>
        <w:jc w:val="both"/>
        <w:rPr>
          <w:rFonts w:ascii="Times New Roman" w:hAnsi="Times New Roman" w:cs="Times New Roman" w:eastAsia="Times New Roman"/>
          <w:color w:val="auto"/>
          <w:spacing w:val="0"/>
          <w:position w:val="0"/>
          <w:sz w:val="22"/>
          <w:shd w:fill="FFFFFF" w:val="clear"/>
        </w:rPr>
      </w:pPr>
    </w:p>
    <w:p>
      <w:pPr>
        <w:keepNext w:val="true"/>
        <w:keepLines w:val="true"/>
        <w:tabs>
          <w:tab w:val="left" w:pos="0" w:leader="none"/>
        </w:tabs>
        <w:spacing w:before="0" w:after="0" w:line="240"/>
        <w:ind w:right="0" w:left="0" w:firstLine="426"/>
        <w:jc w:val="both"/>
        <w:rPr>
          <w:rFonts w:ascii="Times New Roman" w:hAnsi="Times New Roman" w:cs="Times New Roman" w:eastAsia="Times New Roman"/>
          <w:color w:val="auto"/>
          <w:spacing w:val="0"/>
          <w:position w:val="0"/>
          <w:sz w:val="22"/>
          <w:shd w:fill="FFFFFF" w:val="clear"/>
        </w:rPr>
      </w:pPr>
    </w:p>
    <w:p>
      <w:pPr>
        <w:keepNext w:val="true"/>
        <w:keepLines w:val="true"/>
        <w:tabs>
          <w:tab w:val="left" w:pos="0" w:leader="none"/>
        </w:tabs>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p>
    <w:p>
      <w:pPr>
        <w:keepNext w:val="true"/>
        <w:keepLines w:val="true"/>
        <w:tabs>
          <w:tab w:val="left" w:pos="0" w:leader="none"/>
        </w:tabs>
        <w:spacing w:before="0" w:after="0" w:line="240"/>
        <w:ind w:right="0" w:left="0" w:firstLine="851"/>
        <w:jc w:val="both"/>
        <w:rPr>
          <w:rFonts w:ascii="Times New Roman" w:hAnsi="Times New Roman" w:cs="Times New Roman" w:eastAsia="Times New Roman"/>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rags.ru/gosts/gost/54063/" Id="docRId1" Type="http://schemas.openxmlformats.org/officeDocument/2006/relationships/hyperlink"/><Relationship TargetMode="External" Target="https://www.rags.ru/gosts/gost/52738/" Id="docRId3" Type="http://schemas.openxmlformats.org/officeDocument/2006/relationships/hyperlink"/><Relationship Target="styles.xml" Id="docRId5" Type="http://schemas.openxmlformats.org/officeDocument/2006/relationships/styles"/><Relationship TargetMode="External" Target="https://www.rags.ru/gosts/gost/65712/" Id="docRId0" Type="http://schemas.openxmlformats.org/officeDocument/2006/relationships/hyperlink"/><Relationship TargetMode="External" Target="https://www.rags.ru/gosts/gost/52914/" Id="docRId2" Type="http://schemas.openxmlformats.org/officeDocument/2006/relationships/hyperlink"/><Relationship Target="numbering.xml" Id="docRId4" Type="http://schemas.openxmlformats.org/officeDocument/2006/relationships/numbering"/></Relationships>
</file>