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F3" w:rsidRDefault="00BD3CF3" w:rsidP="00BD3CF3">
      <w:pPr>
        <w:pStyle w:val="3"/>
        <w:keepNext w:val="0"/>
        <w:widowControl w:val="0"/>
      </w:pPr>
      <w:r>
        <w:t>Техническое задание</w:t>
      </w:r>
    </w:p>
    <w:p w:rsidR="00BD3CF3" w:rsidRPr="008F5398" w:rsidRDefault="00BD3CF3" w:rsidP="00BD3CF3">
      <w:pPr>
        <w:widowControl w:val="0"/>
        <w:ind w:firstLine="709"/>
        <w:jc w:val="both"/>
        <w:rPr>
          <w:bCs/>
          <w:szCs w:val="24"/>
        </w:rPr>
      </w:pPr>
    </w:p>
    <w:p w:rsidR="00BD3CF3" w:rsidRPr="00CA78C2" w:rsidRDefault="00BD3CF3" w:rsidP="00BD3CF3">
      <w:pPr>
        <w:pStyle w:val="a4"/>
        <w:tabs>
          <w:tab w:val="left" w:pos="0"/>
        </w:tabs>
        <w:ind w:left="0" w:firstLine="709"/>
        <w:jc w:val="both"/>
        <w:rPr>
          <w:b/>
          <w:sz w:val="20"/>
          <w:szCs w:val="20"/>
        </w:rPr>
      </w:pPr>
      <w:r w:rsidRPr="00CA78C2">
        <w:rPr>
          <w:sz w:val="20"/>
          <w:szCs w:val="20"/>
        </w:rPr>
        <w:t xml:space="preserve">Наименование объекта закупки: </w:t>
      </w:r>
      <w:r w:rsidRPr="00CA78C2">
        <w:rPr>
          <w:b/>
          <w:sz w:val="20"/>
          <w:szCs w:val="20"/>
        </w:rPr>
        <w:t>Выполнение работ по изготовлению протезов голени по индивидуальным замерам для инвалидов Орловской области в 20</w:t>
      </w:r>
      <w:r>
        <w:rPr>
          <w:b/>
          <w:sz w:val="20"/>
          <w:szCs w:val="20"/>
        </w:rPr>
        <w:t xml:space="preserve">20 </w:t>
      </w:r>
      <w:r w:rsidRPr="00CA78C2">
        <w:rPr>
          <w:b/>
          <w:sz w:val="20"/>
          <w:szCs w:val="20"/>
        </w:rPr>
        <w:t>году.</w:t>
      </w:r>
    </w:p>
    <w:p w:rsidR="00BD3CF3" w:rsidRPr="00CA78C2" w:rsidRDefault="00BD3CF3" w:rsidP="00BD3CF3">
      <w:pPr>
        <w:pStyle w:val="a4"/>
        <w:widowControl w:val="0"/>
        <w:tabs>
          <w:tab w:val="left" w:pos="0"/>
        </w:tabs>
        <w:ind w:left="0" w:firstLine="709"/>
        <w:jc w:val="both"/>
        <w:rPr>
          <w:sz w:val="20"/>
          <w:szCs w:val="20"/>
        </w:rPr>
      </w:pPr>
      <w:r w:rsidRPr="00CA78C2">
        <w:rPr>
          <w:sz w:val="20"/>
          <w:szCs w:val="20"/>
        </w:rPr>
        <w:t>Количество выполняемых работ:</w:t>
      </w:r>
      <w:r w:rsidRPr="00947D12">
        <w:rPr>
          <w:b/>
          <w:sz w:val="20"/>
          <w:szCs w:val="20"/>
        </w:rPr>
        <w:t>77</w:t>
      </w:r>
      <w:r w:rsidRPr="00EB5EC4">
        <w:rPr>
          <w:b/>
          <w:sz w:val="20"/>
          <w:szCs w:val="20"/>
        </w:rPr>
        <w:t xml:space="preserve"> </w:t>
      </w:r>
      <w:r>
        <w:rPr>
          <w:b/>
          <w:sz w:val="20"/>
          <w:szCs w:val="20"/>
        </w:rPr>
        <w:t>шт</w:t>
      </w:r>
      <w:r w:rsidRPr="00CA78C2">
        <w:rPr>
          <w:b/>
          <w:sz w:val="20"/>
          <w:szCs w:val="20"/>
        </w:rPr>
        <w:t>.</w:t>
      </w:r>
    </w:p>
    <w:p w:rsidR="00BD3CF3" w:rsidRPr="00CA78C2" w:rsidRDefault="00BD3CF3" w:rsidP="00BD3CF3">
      <w:pPr>
        <w:widowControl w:val="0"/>
        <w:ind w:firstLine="709"/>
        <w:jc w:val="both"/>
        <w:rPr>
          <w:sz w:val="20"/>
        </w:rPr>
      </w:pPr>
      <w:r w:rsidRPr="00CA78C2">
        <w:rPr>
          <w:bCs/>
          <w:sz w:val="20"/>
        </w:rPr>
        <w:t xml:space="preserve">Срок выполнения работ: </w:t>
      </w:r>
      <w:r w:rsidRPr="00CA78C2">
        <w:rPr>
          <w:b/>
          <w:bCs/>
          <w:sz w:val="20"/>
        </w:rPr>
        <w:t xml:space="preserve">до </w:t>
      </w:r>
      <w:r>
        <w:rPr>
          <w:b/>
          <w:bCs/>
          <w:sz w:val="20"/>
        </w:rPr>
        <w:t xml:space="preserve">31.07.2020г. </w:t>
      </w:r>
      <w:r w:rsidRPr="00CA78C2">
        <w:rPr>
          <w:b/>
          <w:bCs/>
          <w:sz w:val="20"/>
        </w:rPr>
        <w:t xml:space="preserve"> включительно</w:t>
      </w:r>
      <w:r w:rsidRPr="00CA78C2">
        <w:rPr>
          <w:bCs/>
          <w:sz w:val="20"/>
        </w:rPr>
        <w:t>.</w:t>
      </w:r>
    </w:p>
    <w:p w:rsidR="00BD3CF3" w:rsidRPr="00CA78C2" w:rsidRDefault="00BD3CF3" w:rsidP="00BD3CF3">
      <w:pPr>
        <w:pStyle w:val="a4"/>
        <w:widowControl w:val="0"/>
        <w:tabs>
          <w:tab w:val="left" w:pos="8780"/>
        </w:tabs>
        <w:ind w:left="0" w:firstLine="709"/>
        <w:jc w:val="both"/>
        <w:rPr>
          <w:sz w:val="20"/>
          <w:szCs w:val="20"/>
        </w:rPr>
      </w:pPr>
      <w:r w:rsidRPr="00CA78C2">
        <w:rPr>
          <w:bCs/>
          <w:sz w:val="20"/>
          <w:szCs w:val="20"/>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CA78C2">
        <w:rPr>
          <w:sz w:val="20"/>
          <w:szCs w:val="20"/>
        </w:rPr>
        <w:t>.</w:t>
      </w:r>
    </w:p>
    <w:p w:rsidR="00BD3CF3" w:rsidRPr="00CA78C2" w:rsidRDefault="00BD3CF3" w:rsidP="00BD3CF3">
      <w:pPr>
        <w:pStyle w:val="ConsPlusNormal"/>
        <w:ind w:firstLine="709"/>
        <w:jc w:val="both"/>
        <w:rPr>
          <w:rFonts w:ascii="Times New Roman" w:hAnsi="Times New Roman" w:cs="Times New Roman"/>
        </w:rPr>
      </w:pPr>
      <w:r w:rsidRPr="00CA78C2">
        <w:rPr>
          <w:rFonts w:ascii="Times New Roman" w:hAnsi="Times New Roman" w:cs="Times New Roman"/>
        </w:rPr>
        <w:t>Начальная (максимальная) цена Контракта:</w:t>
      </w:r>
      <w:r w:rsidRPr="00623772">
        <w:t xml:space="preserve"> </w:t>
      </w:r>
      <w:r w:rsidRPr="00623772">
        <w:rPr>
          <w:rFonts w:ascii="Times New Roman" w:hAnsi="Times New Roman" w:cs="Times New Roman"/>
          <w:b/>
        </w:rPr>
        <w:t>7 961 600,</w:t>
      </w:r>
      <w:proofErr w:type="gramStart"/>
      <w:r w:rsidRPr="00623772">
        <w:rPr>
          <w:rFonts w:ascii="Times New Roman" w:hAnsi="Times New Roman" w:cs="Times New Roman"/>
          <w:b/>
        </w:rPr>
        <w:t>00</w:t>
      </w:r>
      <w:r>
        <w:rPr>
          <w:rFonts w:ascii="Times New Roman" w:hAnsi="Times New Roman" w:cs="Times New Roman"/>
        </w:rPr>
        <w:t xml:space="preserve">  </w:t>
      </w:r>
      <w:r w:rsidRPr="00CA78C2">
        <w:rPr>
          <w:rFonts w:ascii="Times New Roman" w:hAnsi="Times New Roman" w:cs="Times New Roman"/>
          <w:b/>
        </w:rPr>
        <w:t>руб.</w:t>
      </w:r>
      <w:proofErr w:type="gramEnd"/>
    </w:p>
    <w:p w:rsidR="00BD3CF3" w:rsidRDefault="00BD3CF3" w:rsidP="00BD3CF3">
      <w:pPr>
        <w:pStyle w:val="ConsPlusNormal"/>
        <w:ind w:firstLine="709"/>
        <w:jc w:val="both"/>
        <w:rPr>
          <w:rFonts w:ascii="Times New Roman" w:hAnsi="Times New Roman" w:cs="Times New Roman"/>
          <w:color w:val="000000"/>
        </w:rPr>
      </w:pPr>
      <w:r w:rsidRPr="00CA78C2">
        <w:rPr>
          <w:rFonts w:ascii="Times New Roman" w:hAnsi="Times New Roman" w:cs="Times New Roman"/>
          <w:color w:val="000000"/>
        </w:rPr>
        <w:t xml:space="preserve">Цена Контракта включает в себя: В цену настоящего Контракта включаются все расходы Исполнителя по исполнению </w:t>
      </w:r>
      <w:r>
        <w:rPr>
          <w:rFonts w:ascii="Times New Roman" w:hAnsi="Times New Roman" w:cs="Times New Roman"/>
          <w:color w:val="000000"/>
        </w:rPr>
        <w:t>обязательств</w:t>
      </w:r>
      <w:r w:rsidRPr="00CA78C2">
        <w:rPr>
          <w:rFonts w:ascii="Times New Roman" w:hAnsi="Times New Roman" w:cs="Times New Roman"/>
          <w:color w:val="000000"/>
        </w:rPr>
        <w:t>,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3"/>
        <w:tblW w:w="4548" w:type="pct"/>
        <w:tblLayout w:type="fixed"/>
        <w:tblLook w:val="04A0" w:firstRow="1" w:lastRow="0" w:firstColumn="1" w:lastColumn="0" w:noHBand="0" w:noVBand="1"/>
      </w:tblPr>
      <w:tblGrid>
        <w:gridCol w:w="248"/>
        <w:gridCol w:w="1382"/>
        <w:gridCol w:w="5170"/>
        <w:gridCol w:w="1700"/>
      </w:tblGrid>
      <w:tr w:rsidR="00BD3CF3" w:rsidRPr="00040DD2" w:rsidTr="00BD3CF3">
        <w:tc>
          <w:tcPr>
            <w:tcW w:w="146" w:type="pct"/>
            <w:vAlign w:val="center"/>
          </w:tcPr>
          <w:p w:rsidR="00BD3CF3" w:rsidRPr="00040DD2" w:rsidRDefault="00BD3CF3" w:rsidP="007F0AB5">
            <w:pPr>
              <w:ind w:left="-57" w:right="-57"/>
              <w:contextualSpacing/>
              <w:jc w:val="center"/>
              <w:rPr>
                <w:b/>
                <w:sz w:val="12"/>
                <w:szCs w:val="12"/>
              </w:rPr>
            </w:pPr>
            <w:r w:rsidRPr="00040DD2">
              <w:rPr>
                <w:b/>
                <w:sz w:val="12"/>
                <w:szCs w:val="12"/>
              </w:rPr>
              <w:t>№</w:t>
            </w:r>
          </w:p>
          <w:p w:rsidR="00BD3CF3" w:rsidRPr="00040DD2" w:rsidRDefault="00BD3CF3" w:rsidP="007F0AB5">
            <w:pPr>
              <w:ind w:left="-57" w:right="-57"/>
              <w:contextualSpacing/>
              <w:jc w:val="center"/>
              <w:rPr>
                <w:b/>
                <w:sz w:val="12"/>
                <w:szCs w:val="12"/>
              </w:rPr>
            </w:pPr>
            <w:r w:rsidRPr="00040DD2">
              <w:rPr>
                <w:b/>
                <w:sz w:val="12"/>
                <w:szCs w:val="12"/>
              </w:rPr>
              <w:t>п/п</w:t>
            </w:r>
          </w:p>
        </w:tc>
        <w:tc>
          <w:tcPr>
            <w:tcW w:w="813" w:type="pct"/>
            <w:vAlign w:val="center"/>
          </w:tcPr>
          <w:p w:rsidR="00BD3CF3" w:rsidRPr="00040DD2" w:rsidRDefault="00BD3CF3" w:rsidP="007F0AB5">
            <w:pPr>
              <w:ind w:left="-57" w:right="-57"/>
              <w:contextualSpacing/>
              <w:jc w:val="center"/>
              <w:rPr>
                <w:b/>
                <w:sz w:val="12"/>
                <w:szCs w:val="12"/>
              </w:rPr>
            </w:pPr>
            <w:r w:rsidRPr="00040DD2">
              <w:rPr>
                <w:b/>
                <w:sz w:val="12"/>
                <w:szCs w:val="12"/>
              </w:rPr>
              <w:t>Наименование работ</w:t>
            </w:r>
          </w:p>
        </w:tc>
        <w:tc>
          <w:tcPr>
            <w:tcW w:w="3041" w:type="pct"/>
            <w:vAlign w:val="center"/>
          </w:tcPr>
          <w:p w:rsidR="00BD3CF3" w:rsidRPr="00040DD2" w:rsidRDefault="00BD3CF3" w:rsidP="007F0AB5">
            <w:pPr>
              <w:ind w:left="-57" w:right="-57"/>
              <w:contextualSpacing/>
              <w:jc w:val="center"/>
              <w:rPr>
                <w:b/>
                <w:sz w:val="12"/>
                <w:szCs w:val="12"/>
              </w:rPr>
            </w:pPr>
            <w:r w:rsidRPr="00040DD2">
              <w:rPr>
                <w:b/>
                <w:sz w:val="12"/>
                <w:szCs w:val="12"/>
              </w:rPr>
              <w:t>Описание изделий, изготавливаемых при выполнении работ</w:t>
            </w:r>
          </w:p>
        </w:tc>
        <w:tc>
          <w:tcPr>
            <w:tcW w:w="1001" w:type="pct"/>
            <w:vAlign w:val="center"/>
          </w:tcPr>
          <w:p w:rsidR="00BD3CF3" w:rsidRPr="00040DD2" w:rsidRDefault="00BD3CF3" w:rsidP="007F0AB5">
            <w:pPr>
              <w:ind w:left="-57" w:right="-57"/>
              <w:contextualSpacing/>
              <w:jc w:val="center"/>
              <w:rPr>
                <w:b/>
                <w:sz w:val="12"/>
                <w:szCs w:val="12"/>
              </w:rPr>
            </w:pPr>
            <w:r w:rsidRPr="00040DD2">
              <w:rPr>
                <w:b/>
                <w:sz w:val="12"/>
                <w:szCs w:val="12"/>
              </w:rPr>
              <w:t>Кол-во изделий, изготовляемых при выполнении работ, шт.</w:t>
            </w:r>
          </w:p>
        </w:tc>
      </w:tr>
      <w:tr w:rsidR="00BD3CF3" w:rsidRPr="00040DD2" w:rsidTr="00BD3CF3">
        <w:tc>
          <w:tcPr>
            <w:tcW w:w="146" w:type="pct"/>
            <w:vAlign w:val="center"/>
          </w:tcPr>
          <w:p w:rsidR="00BD3CF3" w:rsidRPr="00040DD2" w:rsidRDefault="00BD3CF3" w:rsidP="007F0AB5">
            <w:pPr>
              <w:ind w:left="-57" w:right="-57"/>
              <w:contextualSpacing/>
              <w:jc w:val="center"/>
              <w:rPr>
                <w:sz w:val="12"/>
                <w:szCs w:val="12"/>
              </w:rPr>
            </w:pPr>
            <w:r w:rsidRPr="00040DD2">
              <w:rPr>
                <w:sz w:val="12"/>
                <w:szCs w:val="12"/>
              </w:rPr>
              <w:t>1</w:t>
            </w:r>
          </w:p>
        </w:tc>
        <w:tc>
          <w:tcPr>
            <w:tcW w:w="813" w:type="pct"/>
            <w:vAlign w:val="center"/>
          </w:tcPr>
          <w:p w:rsidR="00BD3CF3" w:rsidRPr="00040DD2" w:rsidRDefault="00BD3CF3" w:rsidP="007F0AB5">
            <w:pPr>
              <w:ind w:left="-57" w:right="-57"/>
              <w:contextualSpacing/>
              <w:jc w:val="center"/>
              <w:rPr>
                <w:b/>
                <w:sz w:val="12"/>
                <w:szCs w:val="12"/>
              </w:rPr>
            </w:pPr>
            <w:r w:rsidRPr="00040DD2">
              <w:rPr>
                <w:sz w:val="12"/>
                <w:szCs w:val="12"/>
              </w:rPr>
              <w:t>Изготовление протеза голени немодульного, в том числе при врожденном недоразвитии</w:t>
            </w:r>
          </w:p>
        </w:tc>
        <w:tc>
          <w:tcPr>
            <w:tcW w:w="3041" w:type="pct"/>
            <w:vAlign w:val="center"/>
          </w:tcPr>
          <w:p w:rsidR="00BD3CF3" w:rsidRPr="00040DD2" w:rsidRDefault="00BD3CF3" w:rsidP="007F0AB5">
            <w:pPr>
              <w:contextualSpacing/>
              <w:jc w:val="both"/>
              <w:rPr>
                <w:sz w:val="12"/>
                <w:szCs w:val="12"/>
              </w:rPr>
            </w:pPr>
            <w:r w:rsidRPr="00040DD2">
              <w:rPr>
                <w:sz w:val="12"/>
                <w:szCs w:val="12"/>
              </w:rPr>
              <w:t xml:space="preserve">Протез голени немодульный шинно-кожаный (в </w:t>
            </w:r>
            <w:proofErr w:type="spellStart"/>
            <w:r w:rsidRPr="00040DD2">
              <w:rPr>
                <w:sz w:val="12"/>
                <w:szCs w:val="12"/>
              </w:rPr>
              <w:t>т.ч</w:t>
            </w:r>
            <w:proofErr w:type="spellEnd"/>
            <w:r w:rsidRPr="00040DD2">
              <w:rPr>
                <w:sz w:val="12"/>
                <w:szCs w:val="12"/>
              </w:rPr>
              <w:t xml:space="preserve">. культя по Пирогову, с глубокой посадкой и эластичной облицовкой, при недоразвитии нижней конечности) изготавливается согласно техническим условиям и ГОСТам. Формообразующая часть косметической облицовки отсутствует, </w:t>
            </w:r>
            <w:proofErr w:type="gramStart"/>
            <w:r w:rsidRPr="00040DD2">
              <w:rPr>
                <w:sz w:val="12"/>
                <w:szCs w:val="12"/>
              </w:rPr>
              <w:t>или .листовой</w:t>
            </w:r>
            <w:proofErr w:type="gramEnd"/>
            <w:r w:rsidRPr="00040DD2">
              <w:rPr>
                <w:sz w:val="12"/>
                <w:szCs w:val="12"/>
              </w:rPr>
              <w:t xml:space="preserve"> поролон, или модульная мягкая полиуретановая.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унифицированная, или индивидуальная (в </w:t>
            </w:r>
            <w:proofErr w:type="spellStart"/>
            <w:r w:rsidRPr="00040DD2">
              <w:rPr>
                <w:sz w:val="12"/>
                <w:szCs w:val="12"/>
              </w:rPr>
              <w:t>т.ч</w:t>
            </w:r>
            <w:proofErr w:type="spellEnd"/>
            <w:r w:rsidRPr="00040DD2">
              <w:rPr>
                <w:sz w:val="12"/>
                <w:szCs w:val="12"/>
              </w:rPr>
              <w:t xml:space="preserve">. возможна одна пробная гильза). Материал приемной гильзы: кожа или дерево, или литьевой слоистый пластик на основе акриловых смол. Без вкладной гильзы или допускается вкладная гильза из вспененных материалов. Метод крепления протеза: с использованием кожаных полуфабрикатов (в </w:t>
            </w:r>
            <w:proofErr w:type="spellStart"/>
            <w:r w:rsidRPr="00040DD2">
              <w:rPr>
                <w:sz w:val="12"/>
                <w:szCs w:val="12"/>
              </w:rPr>
              <w:t>т.ч</w:t>
            </w:r>
            <w:proofErr w:type="spellEnd"/>
            <w:r w:rsidRPr="00040DD2">
              <w:rPr>
                <w:sz w:val="12"/>
                <w:szCs w:val="12"/>
              </w:rPr>
              <w:t>. (без шин) или с использованием гильзы (манжеты с шинами) бедра). Стопа деревянно-</w:t>
            </w:r>
            <w:proofErr w:type="spellStart"/>
            <w:r w:rsidRPr="00040DD2">
              <w:rPr>
                <w:sz w:val="12"/>
                <w:szCs w:val="12"/>
              </w:rPr>
              <w:t>фильцевая</w:t>
            </w:r>
            <w:proofErr w:type="spellEnd"/>
            <w:r w:rsidRPr="00040DD2">
              <w:rPr>
                <w:sz w:val="12"/>
                <w:szCs w:val="12"/>
              </w:rPr>
              <w:t>, с голеностопным шарниром, подвижным в сагиттальной плоскости или Стопа шарнирная полиуретановая монолитная или Стопа с металлическим каркасом, подвижная во всех вертикальных плоскостях.</w:t>
            </w:r>
          </w:p>
          <w:p w:rsidR="00BD3CF3" w:rsidRPr="00040DD2" w:rsidRDefault="00BD3CF3" w:rsidP="007F0AB5">
            <w:pPr>
              <w:contextualSpacing/>
              <w:jc w:val="both"/>
              <w:rPr>
                <w:sz w:val="12"/>
                <w:szCs w:val="12"/>
              </w:rPr>
            </w:pPr>
            <w:r w:rsidRPr="00040DD2">
              <w:rPr>
                <w:sz w:val="12"/>
                <w:szCs w:val="12"/>
              </w:rPr>
              <w:t>Тип протеза: любой, по назначению, в т. ч. постоянный.</w:t>
            </w:r>
          </w:p>
          <w:p w:rsidR="00BD3CF3" w:rsidRPr="00040DD2" w:rsidRDefault="00BD3CF3" w:rsidP="007F0AB5">
            <w:pPr>
              <w:contextualSpacing/>
              <w:jc w:val="both"/>
              <w:rPr>
                <w:sz w:val="12"/>
                <w:szCs w:val="12"/>
              </w:rPr>
            </w:pPr>
            <w:r w:rsidRPr="00040DD2">
              <w:rPr>
                <w:sz w:val="12"/>
                <w:szCs w:val="12"/>
              </w:rPr>
              <w:t>Гарантийный срок – не менее 7 месяцев.</w:t>
            </w:r>
          </w:p>
        </w:tc>
        <w:tc>
          <w:tcPr>
            <w:tcW w:w="1001" w:type="pct"/>
            <w:vAlign w:val="center"/>
          </w:tcPr>
          <w:p w:rsidR="00BD3CF3" w:rsidRPr="00040DD2" w:rsidRDefault="00BD3CF3" w:rsidP="007F0AB5">
            <w:pPr>
              <w:ind w:left="-57" w:right="-57"/>
              <w:contextualSpacing/>
              <w:jc w:val="center"/>
              <w:rPr>
                <w:b/>
                <w:sz w:val="12"/>
                <w:szCs w:val="12"/>
              </w:rPr>
            </w:pPr>
            <w:r>
              <w:rPr>
                <w:b/>
                <w:sz w:val="12"/>
                <w:szCs w:val="12"/>
              </w:rPr>
              <w:t>17</w:t>
            </w:r>
          </w:p>
        </w:tc>
      </w:tr>
      <w:tr w:rsidR="00BD3CF3" w:rsidRPr="00040DD2" w:rsidTr="00BD3CF3">
        <w:tc>
          <w:tcPr>
            <w:tcW w:w="146" w:type="pct"/>
            <w:vAlign w:val="center"/>
          </w:tcPr>
          <w:p w:rsidR="00BD3CF3" w:rsidRPr="00040DD2" w:rsidRDefault="00BD3CF3" w:rsidP="007F0AB5">
            <w:pPr>
              <w:ind w:left="-57" w:right="-57"/>
              <w:contextualSpacing/>
              <w:jc w:val="center"/>
              <w:rPr>
                <w:sz w:val="12"/>
                <w:szCs w:val="12"/>
              </w:rPr>
            </w:pPr>
            <w:r w:rsidRPr="00040DD2">
              <w:rPr>
                <w:sz w:val="12"/>
                <w:szCs w:val="12"/>
              </w:rPr>
              <w:t>2</w:t>
            </w:r>
          </w:p>
        </w:tc>
        <w:tc>
          <w:tcPr>
            <w:tcW w:w="813" w:type="pct"/>
            <w:vAlign w:val="center"/>
          </w:tcPr>
          <w:p w:rsidR="00BD3CF3" w:rsidRPr="00040DD2" w:rsidRDefault="00BD3CF3" w:rsidP="007F0AB5">
            <w:pPr>
              <w:ind w:left="-57" w:right="-57"/>
              <w:contextualSpacing/>
              <w:jc w:val="center"/>
              <w:rPr>
                <w:sz w:val="12"/>
                <w:szCs w:val="12"/>
              </w:rPr>
            </w:pPr>
            <w:r w:rsidRPr="00040DD2">
              <w:rPr>
                <w:sz w:val="12"/>
                <w:szCs w:val="12"/>
              </w:rPr>
              <w:t>Изготовление протеза голени модульного, в том числе при недоразвитии</w:t>
            </w:r>
          </w:p>
        </w:tc>
        <w:tc>
          <w:tcPr>
            <w:tcW w:w="3041" w:type="pct"/>
          </w:tcPr>
          <w:p w:rsidR="00BD3CF3" w:rsidRPr="00040DD2" w:rsidRDefault="00BD3CF3" w:rsidP="007F0AB5">
            <w:pPr>
              <w:contextualSpacing/>
              <w:jc w:val="both"/>
              <w:rPr>
                <w:sz w:val="12"/>
                <w:szCs w:val="12"/>
              </w:rPr>
            </w:pPr>
            <w:r w:rsidRPr="00040DD2">
              <w:rPr>
                <w:sz w:val="12"/>
                <w:szCs w:val="12"/>
              </w:rPr>
              <w:t xml:space="preserve">Протез голени модульный,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Вкладная гильза из вспененных материалов либо в качестве вкладного элемента применяются чехлы полимерные </w:t>
            </w:r>
            <w:proofErr w:type="spellStart"/>
            <w:r w:rsidRPr="00040DD2">
              <w:rPr>
                <w:sz w:val="12"/>
                <w:szCs w:val="12"/>
              </w:rPr>
              <w:t>гелевые</w:t>
            </w:r>
            <w:proofErr w:type="spellEnd"/>
            <w:r w:rsidRPr="00040DD2">
              <w:rPr>
                <w:sz w:val="12"/>
                <w:szCs w:val="12"/>
              </w:rPr>
              <w:t xml:space="preserve"> или полиуретановый чехол. Метод крепления протеза: с использованием гильзы (манжеты с шинами) бедра и крепление с использованием кожаных полуфабрикатов, или за счет формы приемной гильзы и с использованием кожаных полуфабрикатов (в </w:t>
            </w:r>
            <w:proofErr w:type="spellStart"/>
            <w:r w:rsidRPr="00040DD2">
              <w:rPr>
                <w:sz w:val="12"/>
                <w:szCs w:val="12"/>
              </w:rPr>
              <w:t>т.ч</w:t>
            </w:r>
            <w:proofErr w:type="spellEnd"/>
            <w:r w:rsidRPr="00040DD2">
              <w:rPr>
                <w:sz w:val="12"/>
                <w:szCs w:val="12"/>
              </w:rPr>
              <w:t xml:space="preserve">. возможно без шин), или с использованием наколенника, или с использованием замкового устройства чехла или вакуума с использованием наколенника, или за счет приемной гильзы и с использованием системы вакуумного насоса ( в </w:t>
            </w:r>
            <w:proofErr w:type="spellStart"/>
            <w:r w:rsidRPr="00040DD2">
              <w:rPr>
                <w:sz w:val="12"/>
                <w:szCs w:val="12"/>
              </w:rPr>
              <w:t>т.ч</w:t>
            </w:r>
            <w:proofErr w:type="spellEnd"/>
            <w:r w:rsidRPr="00040DD2">
              <w:rPr>
                <w:sz w:val="12"/>
                <w:szCs w:val="12"/>
              </w:rPr>
              <w:t>. системы вакуумного крепления типа «</w:t>
            </w:r>
            <w:proofErr w:type="spellStart"/>
            <w:r w:rsidRPr="00040DD2">
              <w:rPr>
                <w:sz w:val="12"/>
                <w:szCs w:val="12"/>
              </w:rPr>
              <w:t>Хармони</w:t>
            </w:r>
            <w:proofErr w:type="spellEnd"/>
            <w:r w:rsidRPr="00040DD2">
              <w:rPr>
                <w:sz w:val="12"/>
                <w:szCs w:val="12"/>
              </w:rPr>
              <w:t xml:space="preserve">» или эквивалент) и с «герметизирующим» </w:t>
            </w:r>
            <w:proofErr w:type="spellStart"/>
            <w:r w:rsidRPr="00040DD2">
              <w:rPr>
                <w:sz w:val="12"/>
                <w:szCs w:val="12"/>
              </w:rPr>
              <w:t>гелевым</w:t>
            </w:r>
            <w:proofErr w:type="spellEnd"/>
            <w:r w:rsidRPr="00040DD2">
              <w:rPr>
                <w:sz w:val="12"/>
                <w:szCs w:val="12"/>
              </w:rPr>
              <w:t xml:space="preserve"> коленным бандажом. Регулировочно-соединительные устройства соответствуют весу инвалида. Стопа </w:t>
            </w:r>
            <w:proofErr w:type="spellStart"/>
            <w:r w:rsidRPr="00040DD2">
              <w:rPr>
                <w:sz w:val="12"/>
                <w:szCs w:val="12"/>
              </w:rPr>
              <w:t>бесшарнирная</w:t>
            </w:r>
            <w:proofErr w:type="spellEnd"/>
            <w:r w:rsidRPr="00040DD2">
              <w:rPr>
                <w:sz w:val="12"/>
                <w:szCs w:val="12"/>
              </w:rPr>
              <w:t xml:space="preserve"> полиуретановая, монолитная, или Стопа шарнирная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или Стопа </w:t>
            </w:r>
            <w:proofErr w:type="spellStart"/>
            <w:r w:rsidRPr="00040DD2">
              <w:rPr>
                <w:sz w:val="12"/>
                <w:szCs w:val="12"/>
              </w:rPr>
              <w:t>высокофункциональная</w:t>
            </w:r>
            <w:proofErr w:type="spellEnd"/>
            <w:r w:rsidRPr="00040DD2">
              <w:rPr>
                <w:sz w:val="12"/>
                <w:szCs w:val="12"/>
              </w:rPr>
              <w:t xml:space="preserve"> с повышенной </w:t>
            </w:r>
            <w:proofErr w:type="spellStart"/>
            <w:r w:rsidRPr="00040DD2">
              <w:rPr>
                <w:sz w:val="12"/>
                <w:szCs w:val="12"/>
              </w:rPr>
              <w:t>энергопередачей</w:t>
            </w:r>
            <w:proofErr w:type="spellEnd"/>
            <w:r w:rsidRPr="00040DD2">
              <w:rPr>
                <w:sz w:val="12"/>
                <w:szCs w:val="12"/>
              </w:rPr>
              <w:t xml:space="preserve"> на основе углепластика с гидравлической щиколоткой вместе с косметической оболочкой, с бесступенчатой регулируемой пациентом высотой каблука от 0 до 3,5 см, раздельные носок и пятка (для пациентов до 125кг),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 высокой степенью энергосбережения с пружинным элементом из карбона и управляющим кольцом. Тип протеза: постоянный.</w:t>
            </w:r>
          </w:p>
          <w:p w:rsidR="00BD3CF3" w:rsidRPr="00040DD2" w:rsidRDefault="00BD3CF3" w:rsidP="007F0AB5">
            <w:pPr>
              <w:contextualSpacing/>
              <w:jc w:val="both"/>
              <w:rPr>
                <w:sz w:val="12"/>
                <w:szCs w:val="12"/>
              </w:rPr>
            </w:pPr>
            <w:r w:rsidRPr="00040DD2">
              <w:rPr>
                <w:sz w:val="12"/>
                <w:szCs w:val="12"/>
              </w:rPr>
              <w:t>Гарантийный срок – не менее 12 месяцев.</w:t>
            </w:r>
          </w:p>
        </w:tc>
        <w:tc>
          <w:tcPr>
            <w:tcW w:w="1001" w:type="pct"/>
            <w:vAlign w:val="center"/>
          </w:tcPr>
          <w:p w:rsidR="00BD3CF3" w:rsidRPr="00040DD2" w:rsidRDefault="00BD3CF3" w:rsidP="007F0AB5">
            <w:pPr>
              <w:ind w:left="-57" w:right="-57"/>
              <w:contextualSpacing/>
              <w:jc w:val="center"/>
              <w:rPr>
                <w:b/>
                <w:sz w:val="12"/>
                <w:szCs w:val="12"/>
              </w:rPr>
            </w:pPr>
            <w:r>
              <w:rPr>
                <w:b/>
                <w:sz w:val="12"/>
                <w:szCs w:val="12"/>
              </w:rPr>
              <w:t>30</w:t>
            </w:r>
          </w:p>
        </w:tc>
      </w:tr>
      <w:tr w:rsidR="00BD3CF3" w:rsidRPr="00040DD2" w:rsidTr="00BD3CF3">
        <w:tc>
          <w:tcPr>
            <w:tcW w:w="146" w:type="pct"/>
            <w:vAlign w:val="center"/>
          </w:tcPr>
          <w:p w:rsidR="00BD3CF3" w:rsidRPr="00040DD2" w:rsidRDefault="00BD3CF3" w:rsidP="007F0AB5">
            <w:pPr>
              <w:ind w:left="-57" w:right="-57"/>
              <w:contextualSpacing/>
              <w:jc w:val="center"/>
              <w:rPr>
                <w:sz w:val="12"/>
                <w:szCs w:val="12"/>
              </w:rPr>
            </w:pPr>
            <w:r w:rsidRPr="00040DD2">
              <w:rPr>
                <w:sz w:val="12"/>
                <w:szCs w:val="12"/>
              </w:rPr>
              <w:t>3</w:t>
            </w:r>
          </w:p>
        </w:tc>
        <w:tc>
          <w:tcPr>
            <w:tcW w:w="813" w:type="pct"/>
            <w:vAlign w:val="center"/>
          </w:tcPr>
          <w:p w:rsidR="00BD3CF3" w:rsidRPr="00040DD2" w:rsidRDefault="00BD3CF3" w:rsidP="007F0AB5">
            <w:pPr>
              <w:ind w:left="-57" w:right="-57"/>
              <w:contextualSpacing/>
              <w:jc w:val="center"/>
              <w:rPr>
                <w:sz w:val="12"/>
                <w:szCs w:val="12"/>
              </w:rPr>
            </w:pPr>
            <w:r w:rsidRPr="00040DD2">
              <w:rPr>
                <w:sz w:val="12"/>
                <w:szCs w:val="12"/>
              </w:rPr>
              <w:t>Изготовление протеза голени лечебно-тренировочного</w:t>
            </w:r>
          </w:p>
        </w:tc>
        <w:tc>
          <w:tcPr>
            <w:tcW w:w="3041" w:type="pct"/>
            <w:vAlign w:val="center"/>
          </w:tcPr>
          <w:p w:rsidR="00BD3CF3" w:rsidRPr="00040DD2" w:rsidRDefault="00BD3CF3" w:rsidP="007F0AB5">
            <w:pPr>
              <w:ind w:left="-57" w:right="-57"/>
              <w:contextualSpacing/>
              <w:jc w:val="both"/>
              <w:rPr>
                <w:sz w:val="12"/>
                <w:szCs w:val="12"/>
              </w:rPr>
            </w:pPr>
            <w:r w:rsidRPr="00040DD2">
              <w:rPr>
                <w:sz w:val="12"/>
                <w:szCs w:val="12"/>
              </w:rPr>
              <w:t xml:space="preserve">Протез голени модульный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Покрытие облицовки: чулки ортопедические </w:t>
            </w:r>
            <w:proofErr w:type="spellStart"/>
            <w:r w:rsidRPr="00040DD2">
              <w:rPr>
                <w:sz w:val="12"/>
                <w:szCs w:val="12"/>
              </w:rPr>
              <w:t>перлоновые</w:t>
            </w:r>
            <w:proofErr w:type="spellEnd"/>
            <w:r w:rsidRPr="00040DD2">
              <w:rPr>
                <w:sz w:val="12"/>
                <w:szCs w:val="12"/>
              </w:rPr>
              <w:t xml:space="preserve"> или </w:t>
            </w:r>
            <w:proofErr w:type="spellStart"/>
            <w:r w:rsidRPr="00040DD2">
              <w:rPr>
                <w:sz w:val="12"/>
                <w:szCs w:val="12"/>
              </w:rPr>
              <w:t>силоновые</w:t>
            </w:r>
            <w:proofErr w:type="spellEnd"/>
            <w:r w:rsidRPr="00040DD2">
              <w:rPr>
                <w:sz w:val="12"/>
                <w:szCs w:val="12"/>
              </w:rPr>
              <w:t xml:space="preserve">.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смол, или кожа. Допускается применение вкладной гильзы из вспененных материалов. Крепление протеза: за счет формы приемной гильзы, </w:t>
            </w:r>
            <w:proofErr w:type="gramStart"/>
            <w:r w:rsidRPr="00040DD2">
              <w:rPr>
                <w:sz w:val="12"/>
                <w:szCs w:val="12"/>
              </w:rPr>
              <w:t>или  с</w:t>
            </w:r>
            <w:proofErr w:type="gramEnd"/>
            <w:r w:rsidRPr="00040DD2">
              <w:rPr>
                <w:sz w:val="12"/>
                <w:szCs w:val="12"/>
              </w:rPr>
              <w:t xml:space="preserve"> использованием кожаных полуфабрикатов (без шин), или с использованием наколенника, или с использованием гильзы (манжеты с шинами) бедра. Регулировочно-соединительные устройства соответствуют весу инвалида. Стопа шарнирная, полиуретановая, монолитная, или Стопа </w:t>
            </w:r>
            <w:proofErr w:type="spellStart"/>
            <w:r w:rsidRPr="00040DD2">
              <w:rPr>
                <w:sz w:val="12"/>
                <w:szCs w:val="12"/>
              </w:rPr>
              <w:t>бесшарнирная</w:t>
            </w:r>
            <w:proofErr w:type="spellEnd"/>
            <w:r w:rsidRPr="00040DD2">
              <w:rPr>
                <w:sz w:val="12"/>
                <w:szCs w:val="12"/>
              </w:rPr>
              <w:t>,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Тип протеза: лечебно-тренировочный.</w:t>
            </w:r>
          </w:p>
          <w:p w:rsidR="00BD3CF3" w:rsidRPr="00040DD2" w:rsidRDefault="00BD3CF3" w:rsidP="007F0AB5">
            <w:pPr>
              <w:ind w:left="-57" w:right="-57"/>
              <w:contextualSpacing/>
              <w:jc w:val="both"/>
              <w:rPr>
                <w:sz w:val="12"/>
                <w:szCs w:val="12"/>
              </w:rPr>
            </w:pPr>
            <w:r w:rsidRPr="00040DD2">
              <w:rPr>
                <w:sz w:val="12"/>
                <w:szCs w:val="12"/>
              </w:rPr>
              <w:t>Гарантийный срок – не менее 7 месяцев.</w:t>
            </w:r>
          </w:p>
        </w:tc>
        <w:tc>
          <w:tcPr>
            <w:tcW w:w="1001" w:type="pct"/>
            <w:vAlign w:val="center"/>
          </w:tcPr>
          <w:p w:rsidR="00BD3CF3" w:rsidRPr="00040DD2" w:rsidRDefault="00BD3CF3" w:rsidP="007F0AB5">
            <w:pPr>
              <w:ind w:left="-57" w:right="-57"/>
              <w:contextualSpacing/>
              <w:jc w:val="center"/>
              <w:rPr>
                <w:b/>
                <w:sz w:val="12"/>
                <w:szCs w:val="12"/>
              </w:rPr>
            </w:pPr>
            <w:r w:rsidRPr="00040DD2">
              <w:rPr>
                <w:b/>
                <w:sz w:val="12"/>
                <w:szCs w:val="12"/>
              </w:rPr>
              <w:t xml:space="preserve"> </w:t>
            </w:r>
            <w:r>
              <w:rPr>
                <w:b/>
                <w:sz w:val="12"/>
                <w:szCs w:val="12"/>
              </w:rPr>
              <w:t>10</w:t>
            </w:r>
          </w:p>
        </w:tc>
      </w:tr>
      <w:tr w:rsidR="00BD3CF3" w:rsidRPr="00040DD2" w:rsidTr="00BD3CF3">
        <w:tc>
          <w:tcPr>
            <w:tcW w:w="146" w:type="pct"/>
            <w:vAlign w:val="center"/>
          </w:tcPr>
          <w:p w:rsidR="00BD3CF3" w:rsidRPr="00040DD2" w:rsidRDefault="00BD3CF3" w:rsidP="007F0AB5">
            <w:pPr>
              <w:ind w:left="-57" w:right="-57"/>
              <w:contextualSpacing/>
              <w:jc w:val="center"/>
              <w:rPr>
                <w:sz w:val="12"/>
                <w:szCs w:val="12"/>
              </w:rPr>
            </w:pPr>
            <w:r w:rsidRPr="00040DD2">
              <w:rPr>
                <w:sz w:val="12"/>
                <w:szCs w:val="12"/>
              </w:rPr>
              <w:t>4</w:t>
            </w:r>
          </w:p>
        </w:tc>
        <w:tc>
          <w:tcPr>
            <w:tcW w:w="813" w:type="pct"/>
            <w:vAlign w:val="center"/>
          </w:tcPr>
          <w:p w:rsidR="00BD3CF3" w:rsidRPr="00040DD2" w:rsidRDefault="00BD3CF3" w:rsidP="007F0AB5">
            <w:pPr>
              <w:ind w:left="-57" w:right="-57"/>
              <w:contextualSpacing/>
              <w:jc w:val="center"/>
              <w:rPr>
                <w:sz w:val="12"/>
                <w:szCs w:val="12"/>
              </w:rPr>
            </w:pPr>
            <w:bookmarkStart w:id="0" w:name="_GoBack"/>
            <w:bookmarkEnd w:id="0"/>
            <w:r w:rsidRPr="00040DD2">
              <w:rPr>
                <w:sz w:val="12"/>
                <w:szCs w:val="12"/>
              </w:rPr>
              <w:t>Изготовление протеза голени для купания</w:t>
            </w:r>
          </w:p>
        </w:tc>
        <w:tc>
          <w:tcPr>
            <w:tcW w:w="3041" w:type="pct"/>
            <w:vAlign w:val="center"/>
          </w:tcPr>
          <w:p w:rsidR="00BD3CF3" w:rsidRPr="00040DD2" w:rsidRDefault="00BD3CF3" w:rsidP="007F0AB5">
            <w:pPr>
              <w:ind w:left="-57" w:right="-57"/>
              <w:contextualSpacing/>
              <w:jc w:val="both"/>
              <w:rPr>
                <w:sz w:val="12"/>
                <w:szCs w:val="12"/>
              </w:rPr>
            </w:pPr>
            <w:r w:rsidRPr="00040DD2">
              <w:rPr>
                <w:sz w:val="12"/>
                <w:szCs w:val="12"/>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гильза). Материал индивидуальной приемной гильзы: литьевой слоистый пластик на основе </w:t>
            </w:r>
            <w:proofErr w:type="spellStart"/>
            <w:r w:rsidRPr="00040DD2">
              <w:rPr>
                <w:sz w:val="12"/>
                <w:szCs w:val="12"/>
              </w:rPr>
              <w:t>ортокриловой</w:t>
            </w:r>
            <w:proofErr w:type="spellEnd"/>
            <w:r w:rsidRPr="00040DD2">
              <w:rPr>
                <w:sz w:val="12"/>
                <w:szCs w:val="12"/>
              </w:rPr>
              <w:t xml:space="preserve"> смолы. Вкладная гильза из вспененных материалов. Крепление протеза: за счет формы приемной гильзы, с использованием </w:t>
            </w:r>
            <w:proofErr w:type="spellStart"/>
            <w:r w:rsidRPr="00040DD2">
              <w:rPr>
                <w:sz w:val="12"/>
                <w:szCs w:val="12"/>
              </w:rPr>
              <w:t>гелевого</w:t>
            </w:r>
            <w:proofErr w:type="spellEnd"/>
            <w:r w:rsidRPr="00040DD2">
              <w:rPr>
                <w:sz w:val="12"/>
                <w:szCs w:val="12"/>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 Тип протеза: специальный.</w:t>
            </w:r>
          </w:p>
          <w:p w:rsidR="00BD3CF3" w:rsidRPr="00040DD2" w:rsidRDefault="00BD3CF3" w:rsidP="007F0AB5">
            <w:pPr>
              <w:ind w:left="-57" w:right="-57"/>
              <w:contextualSpacing/>
              <w:jc w:val="both"/>
              <w:rPr>
                <w:sz w:val="12"/>
                <w:szCs w:val="12"/>
              </w:rPr>
            </w:pPr>
            <w:r w:rsidRPr="00040DD2">
              <w:rPr>
                <w:sz w:val="12"/>
                <w:szCs w:val="12"/>
              </w:rPr>
              <w:t>Гарантийный срок – не менее 12 месяцев.</w:t>
            </w:r>
          </w:p>
        </w:tc>
        <w:tc>
          <w:tcPr>
            <w:tcW w:w="1001" w:type="pct"/>
            <w:vAlign w:val="center"/>
          </w:tcPr>
          <w:p w:rsidR="00BD3CF3" w:rsidRPr="00040DD2" w:rsidRDefault="00BD3CF3" w:rsidP="007F0AB5">
            <w:pPr>
              <w:ind w:left="-57" w:right="-57"/>
              <w:contextualSpacing/>
              <w:jc w:val="center"/>
              <w:rPr>
                <w:b/>
                <w:sz w:val="12"/>
                <w:szCs w:val="12"/>
              </w:rPr>
            </w:pPr>
            <w:r>
              <w:rPr>
                <w:b/>
                <w:sz w:val="12"/>
                <w:szCs w:val="12"/>
              </w:rPr>
              <w:t>20</w:t>
            </w:r>
          </w:p>
        </w:tc>
      </w:tr>
      <w:tr w:rsidR="00BD3CF3" w:rsidRPr="00040DD2" w:rsidTr="00BD3CF3">
        <w:tc>
          <w:tcPr>
            <w:tcW w:w="3999" w:type="pct"/>
            <w:gridSpan w:val="3"/>
            <w:vAlign w:val="center"/>
          </w:tcPr>
          <w:p w:rsidR="00BD3CF3" w:rsidRPr="00040DD2" w:rsidRDefault="00BD3CF3" w:rsidP="007F0AB5">
            <w:pPr>
              <w:ind w:left="-57" w:right="-57"/>
              <w:contextualSpacing/>
              <w:jc w:val="center"/>
              <w:rPr>
                <w:b/>
                <w:sz w:val="12"/>
                <w:szCs w:val="12"/>
              </w:rPr>
            </w:pPr>
            <w:r w:rsidRPr="00040DD2">
              <w:rPr>
                <w:b/>
                <w:sz w:val="12"/>
                <w:szCs w:val="12"/>
              </w:rPr>
              <w:t>ИТОГО:</w:t>
            </w:r>
          </w:p>
        </w:tc>
        <w:tc>
          <w:tcPr>
            <w:tcW w:w="1001" w:type="pct"/>
            <w:vAlign w:val="center"/>
          </w:tcPr>
          <w:p w:rsidR="00BD3CF3" w:rsidRPr="00040DD2" w:rsidRDefault="00BD3CF3" w:rsidP="007F0AB5">
            <w:pPr>
              <w:ind w:left="-57" w:right="-57"/>
              <w:contextualSpacing/>
              <w:jc w:val="center"/>
              <w:rPr>
                <w:b/>
                <w:sz w:val="12"/>
                <w:szCs w:val="12"/>
              </w:rPr>
            </w:pPr>
            <w:r>
              <w:rPr>
                <w:b/>
                <w:sz w:val="12"/>
                <w:szCs w:val="12"/>
              </w:rPr>
              <w:t>77</w:t>
            </w:r>
          </w:p>
        </w:tc>
      </w:tr>
    </w:tbl>
    <w:p w:rsidR="00BD3CF3" w:rsidRDefault="00BD3CF3" w:rsidP="00BD3CF3">
      <w:pPr>
        <w:pStyle w:val="ConsPlusNormal"/>
        <w:ind w:firstLine="709"/>
        <w:jc w:val="both"/>
        <w:rPr>
          <w:rFonts w:ascii="Times New Roman" w:hAnsi="Times New Roman" w:cs="Times New Roman"/>
          <w:color w:val="000000"/>
        </w:rPr>
      </w:pPr>
    </w:p>
    <w:p w:rsidR="00BD3CF3" w:rsidRPr="00606764" w:rsidRDefault="00BD3CF3" w:rsidP="00BD3CF3">
      <w:pPr>
        <w:ind w:firstLine="709"/>
        <w:jc w:val="both"/>
        <w:rPr>
          <w:bCs/>
          <w:sz w:val="20"/>
        </w:rPr>
      </w:pPr>
      <w:r w:rsidRPr="00606764">
        <w:rPr>
          <w:bCs/>
          <w:sz w:val="20"/>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06764">
        <w:rPr>
          <w:bCs/>
          <w:sz w:val="20"/>
        </w:rPr>
        <w:t>абилитации</w:t>
      </w:r>
      <w:proofErr w:type="spellEnd"/>
      <w:r w:rsidRPr="00606764">
        <w:rPr>
          <w:bCs/>
          <w:sz w:val="20"/>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w:t>
      </w:r>
      <w:r w:rsidRPr="00606764">
        <w:rPr>
          <w:bCs/>
          <w:sz w:val="20"/>
        </w:rPr>
        <w:lastRenderedPageBreak/>
        <w:t xml:space="preserve">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BD3CF3" w:rsidRPr="00606764" w:rsidRDefault="00BD3CF3" w:rsidP="00BD3CF3">
      <w:pPr>
        <w:contextualSpacing/>
        <w:rPr>
          <w:sz w:val="20"/>
        </w:rPr>
      </w:pPr>
      <w:r w:rsidRPr="00606764">
        <w:rPr>
          <w:bCs/>
          <w:sz w:val="20"/>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BD3CF3" w:rsidRPr="00ED3C26" w:rsidRDefault="00BD3CF3" w:rsidP="00BD3CF3">
      <w:pPr>
        <w:contextualSpacing/>
        <w:jc w:val="center"/>
        <w:rPr>
          <w:b/>
          <w:sz w:val="20"/>
        </w:rPr>
      </w:pPr>
      <w:r w:rsidRPr="00ED3C26">
        <w:rPr>
          <w:b/>
          <w:sz w:val="20"/>
        </w:rPr>
        <w:t>Требования, предъявляемые к выполнению работ.</w:t>
      </w:r>
    </w:p>
    <w:p w:rsidR="00BD3CF3" w:rsidRPr="00ED3C26" w:rsidRDefault="00BD3CF3" w:rsidP="00BD3CF3">
      <w:pPr>
        <w:contextualSpacing/>
        <w:jc w:val="both"/>
        <w:rPr>
          <w:sz w:val="20"/>
        </w:rPr>
      </w:pPr>
      <w:r w:rsidRPr="00ED3C26">
        <w:rPr>
          <w:sz w:val="20"/>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BD3CF3" w:rsidRPr="00ED3C26" w:rsidRDefault="00BD3CF3" w:rsidP="00BD3CF3">
      <w:pPr>
        <w:contextualSpacing/>
        <w:jc w:val="both"/>
        <w:rPr>
          <w:sz w:val="20"/>
        </w:rPr>
      </w:pPr>
      <w:r>
        <w:rPr>
          <w:sz w:val="20"/>
        </w:rPr>
        <w:t xml:space="preserve">    </w:t>
      </w:r>
      <w:r w:rsidRPr="00ED3C26">
        <w:rPr>
          <w:sz w:val="20"/>
        </w:rPr>
        <w:t>Выполнение работ должно включать:</w:t>
      </w:r>
    </w:p>
    <w:p w:rsidR="00BD3CF3" w:rsidRPr="00ED3C26" w:rsidRDefault="00BD3CF3" w:rsidP="00BD3CF3">
      <w:pPr>
        <w:tabs>
          <w:tab w:val="left" w:pos="654"/>
          <w:tab w:val="left" w:pos="834"/>
        </w:tabs>
        <w:suppressAutoHyphens/>
        <w:autoSpaceDE w:val="0"/>
        <w:autoSpaceDN w:val="0"/>
        <w:adjustRightInd w:val="0"/>
        <w:ind w:firstLine="673"/>
        <w:contextualSpacing/>
        <w:jc w:val="both"/>
        <w:rPr>
          <w:sz w:val="20"/>
        </w:rPr>
      </w:pPr>
      <w:r w:rsidRPr="00ED3C26">
        <w:rPr>
          <w:sz w:val="20"/>
        </w:rPr>
        <w:t>- комплекс мероприятий (замеры, подгонка, примерка и т. д.), в которых необходимо участие Получателя;</w:t>
      </w:r>
    </w:p>
    <w:p w:rsidR="00BD3CF3" w:rsidRPr="00ED3C26" w:rsidRDefault="00BD3CF3" w:rsidP="00BD3CF3">
      <w:pPr>
        <w:tabs>
          <w:tab w:val="left" w:pos="654"/>
          <w:tab w:val="left" w:pos="834"/>
        </w:tabs>
        <w:suppressAutoHyphens/>
        <w:autoSpaceDE w:val="0"/>
        <w:autoSpaceDN w:val="0"/>
        <w:adjustRightInd w:val="0"/>
        <w:ind w:firstLine="673"/>
        <w:contextualSpacing/>
        <w:rPr>
          <w:sz w:val="20"/>
        </w:rPr>
      </w:pPr>
      <w:r w:rsidRPr="00ED3C26">
        <w:rPr>
          <w:sz w:val="20"/>
        </w:rPr>
        <w:t>- изготовление протезов;</w:t>
      </w:r>
    </w:p>
    <w:p w:rsidR="00BD3CF3" w:rsidRPr="00ED3C26" w:rsidRDefault="00BD3CF3" w:rsidP="00BD3CF3">
      <w:pPr>
        <w:tabs>
          <w:tab w:val="left" w:pos="654"/>
          <w:tab w:val="left" w:pos="834"/>
        </w:tabs>
        <w:suppressAutoHyphens/>
        <w:autoSpaceDE w:val="0"/>
        <w:autoSpaceDN w:val="0"/>
        <w:adjustRightInd w:val="0"/>
        <w:ind w:firstLine="673"/>
        <w:contextualSpacing/>
        <w:rPr>
          <w:sz w:val="20"/>
        </w:rPr>
      </w:pPr>
      <w:r w:rsidRPr="00ED3C26">
        <w:rPr>
          <w:sz w:val="20"/>
        </w:rPr>
        <w:t>- выдачу результата работ Получателю.</w:t>
      </w:r>
    </w:p>
    <w:p w:rsidR="00BD3CF3" w:rsidRPr="00ED3C26" w:rsidRDefault="00BD3CF3" w:rsidP="00BD3CF3">
      <w:pPr>
        <w:tabs>
          <w:tab w:val="left" w:pos="654"/>
          <w:tab w:val="left" w:pos="834"/>
        </w:tabs>
        <w:suppressAutoHyphens/>
        <w:autoSpaceDE w:val="0"/>
        <w:autoSpaceDN w:val="0"/>
        <w:adjustRightInd w:val="0"/>
        <w:ind w:firstLine="673"/>
        <w:contextualSpacing/>
        <w:jc w:val="both"/>
        <w:rPr>
          <w:sz w:val="20"/>
        </w:rPr>
      </w:pPr>
      <w:r w:rsidRPr="00ED3C26">
        <w:rPr>
          <w:sz w:val="20"/>
        </w:rPr>
        <w:t xml:space="preserve">Протезы (далее – изделия) должны быть изготовлены по индивидуальным меркам каждого Получателя. </w:t>
      </w:r>
      <w:r>
        <w:rPr>
          <w:sz w:val="20"/>
        </w:rPr>
        <w:t xml:space="preserve">    </w:t>
      </w:r>
      <w:r w:rsidRPr="00ED3C26">
        <w:rPr>
          <w:sz w:val="20"/>
        </w:rPr>
        <w:t>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BD3CF3" w:rsidRPr="00ED3C26" w:rsidRDefault="00BD3CF3" w:rsidP="00BD3CF3">
      <w:pPr>
        <w:tabs>
          <w:tab w:val="left" w:pos="654"/>
          <w:tab w:val="left" w:pos="834"/>
        </w:tabs>
        <w:suppressAutoHyphens/>
        <w:autoSpaceDE w:val="0"/>
        <w:autoSpaceDN w:val="0"/>
        <w:adjustRightInd w:val="0"/>
        <w:ind w:firstLine="673"/>
        <w:contextualSpacing/>
        <w:jc w:val="both"/>
        <w:rPr>
          <w:sz w:val="20"/>
        </w:rPr>
      </w:pPr>
      <w:r w:rsidRPr="00ED3C26">
        <w:rPr>
          <w:sz w:val="20"/>
        </w:rPr>
        <w:t>Выполнение работ должно осуществляться при наличии декларации о соответствии на изделия.</w:t>
      </w:r>
    </w:p>
    <w:p w:rsidR="00BD3CF3" w:rsidRPr="00ED3C26" w:rsidRDefault="00BD3CF3" w:rsidP="00BD3CF3">
      <w:pPr>
        <w:tabs>
          <w:tab w:val="left" w:pos="654"/>
          <w:tab w:val="left" w:pos="834"/>
        </w:tabs>
        <w:suppressAutoHyphens/>
        <w:autoSpaceDE w:val="0"/>
        <w:autoSpaceDN w:val="0"/>
        <w:adjustRightInd w:val="0"/>
        <w:ind w:firstLine="673"/>
        <w:contextualSpacing/>
        <w:jc w:val="both"/>
        <w:rPr>
          <w:sz w:val="20"/>
        </w:rPr>
      </w:pPr>
      <w:r w:rsidRPr="00ED3C26">
        <w:rPr>
          <w:sz w:val="20"/>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BD3CF3" w:rsidRPr="00ED3C26" w:rsidRDefault="00BD3CF3" w:rsidP="00BD3CF3">
      <w:pPr>
        <w:tabs>
          <w:tab w:val="left" w:pos="654"/>
          <w:tab w:val="left" w:pos="834"/>
        </w:tabs>
        <w:suppressAutoHyphens/>
        <w:autoSpaceDE w:val="0"/>
        <w:autoSpaceDN w:val="0"/>
        <w:adjustRightInd w:val="0"/>
        <w:ind w:left="990" w:firstLine="673"/>
        <w:contextualSpacing/>
        <w:jc w:val="both"/>
        <w:rPr>
          <w:sz w:val="20"/>
        </w:rPr>
      </w:pPr>
    </w:p>
    <w:p w:rsidR="00BD3CF3" w:rsidRPr="00ED3C26" w:rsidRDefault="00BD3CF3" w:rsidP="00BD3CF3">
      <w:pPr>
        <w:widowControl w:val="0"/>
        <w:shd w:val="clear" w:color="auto" w:fill="FFFFFF"/>
        <w:tabs>
          <w:tab w:val="left" w:pos="0"/>
        </w:tabs>
        <w:autoSpaceDE w:val="0"/>
        <w:autoSpaceDN w:val="0"/>
        <w:adjustRightInd w:val="0"/>
        <w:contextualSpacing/>
        <w:jc w:val="center"/>
        <w:rPr>
          <w:b/>
          <w:sz w:val="20"/>
        </w:rPr>
      </w:pPr>
      <w:r w:rsidRPr="00ED3C26">
        <w:rPr>
          <w:b/>
          <w:sz w:val="20"/>
        </w:rPr>
        <w:t>Место, условия и сроки выполнения работ</w:t>
      </w:r>
    </w:p>
    <w:p w:rsidR="00BD3CF3" w:rsidRPr="00ED3C26" w:rsidRDefault="00BD3CF3" w:rsidP="00BD3CF3">
      <w:pPr>
        <w:tabs>
          <w:tab w:val="left" w:pos="654"/>
          <w:tab w:val="left" w:pos="834"/>
        </w:tabs>
        <w:suppressAutoHyphens/>
        <w:autoSpaceDE w:val="0"/>
        <w:autoSpaceDN w:val="0"/>
        <w:adjustRightInd w:val="0"/>
        <w:ind w:firstLine="567"/>
        <w:contextualSpacing/>
        <w:jc w:val="both"/>
        <w:rPr>
          <w:sz w:val="20"/>
        </w:rPr>
      </w:pPr>
      <w:r w:rsidRPr="00ED3C26">
        <w:rPr>
          <w:sz w:val="20"/>
        </w:rPr>
        <w:t xml:space="preserve">Выполнение работ по изготовлению изделий осуществляется по месту </w:t>
      </w:r>
      <w:r w:rsidRPr="006749E6">
        <w:rPr>
          <w:sz w:val="20"/>
        </w:rPr>
        <w:t xml:space="preserve">нахождения </w:t>
      </w:r>
      <w:r>
        <w:rPr>
          <w:sz w:val="20"/>
        </w:rPr>
        <w:t>Исполнителя.</w:t>
      </w:r>
    </w:p>
    <w:p w:rsidR="00BD3CF3" w:rsidRPr="00ED3C26" w:rsidRDefault="00BD3CF3" w:rsidP="00BD3CF3">
      <w:pPr>
        <w:widowControl w:val="0"/>
        <w:autoSpaceDE w:val="0"/>
        <w:autoSpaceDN w:val="0"/>
        <w:adjustRightInd w:val="0"/>
        <w:ind w:firstLine="567"/>
        <w:contextualSpacing/>
        <w:jc w:val="both"/>
        <w:rPr>
          <w:sz w:val="20"/>
          <w:lang w:eastAsia="ar-SA"/>
        </w:rPr>
      </w:pPr>
      <w:r w:rsidRPr="00ED3C26">
        <w:rPr>
          <w:sz w:val="20"/>
        </w:rPr>
        <w:t xml:space="preserve">Выполнение работ, связанных с проведением </w:t>
      </w:r>
      <w:r w:rsidRPr="00ED3C26">
        <w:rPr>
          <w:sz w:val="20"/>
          <w:lang w:eastAsia="ar-SA"/>
        </w:rPr>
        <w:t xml:space="preserve">комплекса мероприятий (замеры, подгонка, примерка и т. д.), в которых необходимо участие Получателя, осуществляется по месту </w:t>
      </w:r>
      <w:r w:rsidRPr="006B01D7">
        <w:rPr>
          <w:sz w:val="20"/>
          <w:lang w:eastAsia="ar-SA"/>
        </w:rPr>
        <w:t>нахождения Получателя.</w:t>
      </w:r>
    </w:p>
    <w:p w:rsidR="00BD3CF3" w:rsidRPr="00ED3C26" w:rsidRDefault="00BD3CF3" w:rsidP="00BD3CF3">
      <w:pPr>
        <w:widowControl w:val="0"/>
        <w:autoSpaceDE w:val="0"/>
        <w:autoSpaceDN w:val="0"/>
        <w:adjustRightInd w:val="0"/>
        <w:ind w:firstLine="567"/>
        <w:contextualSpacing/>
        <w:jc w:val="both"/>
        <w:rPr>
          <w:sz w:val="20"/>
        </w:rPr>
      </w:pPr>
      <w:r w:rsidRPr="00ED3C26">
        <w:rPr>
          <w:sz w:val="20"/>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BD3CF3" w:rsidRPr="00ED3C26" w:rsidRDefault="00BD3CF3" w:rsidP="00BD3CF3">
      <w:pPr>
        <w:tabs>
          <w:tab w:val="left" w:pos="654"/>
          <w:tab w:val="left" w:pos="834"/>
        </w:tabs>
        <w:suppressAutoHyphens/>
        <w:autoSpaceDE w:val="0"/>
        <w:autoSpaceDN w:val="0"/>
        <w:adjustRightInd w:val="0"/>
        <w:ind w:firstLine="567"/>
        <w:contextualSpacing/>
        <w:jc w:val="both"/>
        <w:rPr>
          <w:sz w:val="20"/>
        </w:rPr>
      </w:pPr>
      <w:r w:rsidRPr="00ED3C26">
        <w:rPr>
          <w:sz w:val="20"/>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BD3CF3" w:rsidRPr="00ED3C26" w:rsidRDefault="00BD3CF3" w:rsidP="00BD3CF3">
      <w:pPr>
        <w:widowControl w:val="0"/>
        <w:autoSpaceDE w:val="0"/>
        <w:autoSpaceDN w:val="0"/>
        <w:adjustRightInd w:val="0"/>
        <w:ind w:firstLine="567"/>
        <w:contextualSpacing/>
        <w:jc w:val="both"/>
        <w:rPr>
          <w:sz w:val="20"/>
        </w:rPr>
      </w:pPr>
      <w:r w:rsidRPr="00ED3C26">
        <w:rPr>
          <w:sz w:val="20"/>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ED3C26">
        <w:rPr>
          <w:b/>
          <w:sz w:val="20"/>
        </w:rPr>
        <w:t xml:space="preserve">не позднее </w:t>
      </w:r>
      <w:r>
        <w:rPr>
          <w:b/>
          <w:sz w:val="20"/>
        </w:rPr>
        <w:t>31.07.2020</w:t>
      </w:r>
      <w:r w:rsidRPr="00ED3C26">
        <w:rPr>
          <w:b/>
          <w:sz w:val="20"/>
        </w:rPr>
        <w:t xml:space="preserve"> г. включительно.</w:t>
      </w:r>
    </w:p>
    <w:p w:rsidR="00BD3CF3" w:rsidRPr="00BF4A11" w:rsidRDefault="00BD3CF3" w:rsidP="00BD3CF3">
      <w:pPr>
        <w:ind w:firstLine="567"/>
        <w:contextualSpacing/>
        <w:jc w:val="both"/>
        <w:rPr>
          <w:spacing w:val="-1"/>
          <w:sz w:val="20"/>
          <w:lang w:eastAsia="ar-SA"/>
        </w:rPr>
      </w:pPr>
      <w:r w:rsidRPr="00BF4A11">
        <w:rPr>
          <w:spacing w:val="-1"/>
          <w:sz w:val="20"/>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BD3CF3" w:rsidRDefault="00BD3CF3" w:rsidP="00BD3CF3">
      <w:pPr>
        <w:ind w:firstLine="567"/>
        <w:contextualSpacing/>
        <w:jc w:val="both"/>
        <w:rPr>
          <w:spacing w:val="-1"/>
          <w:sz w:val="20"/>
          <w:lang w:eastAsia="ar-SA"/>
        </w:rPr>
      </w:pPr>
      <w:r w:rsidRPr="00BF4A11">
        <w:rPr>
          <w:spacing w:val="-1"/>
          <w:sz w:val="20"/>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BD3CF3" w:rsidRPr="00ED3C26" w:rsidRDefault="00BD3CF3" w:rsidP="00BD3CF3">
      <w:pPr>
        <w:ind w:firstLine="567"/>
        <w:contextualSpacing/>
        <w:jc w:val="both"/>
        <w:rPr>
          <w:spacing w:val="-1"/>
          <w:sz w:val="20"/>
          <w:lang w:eastAsia="ar-SA"/>
        </w:rPr>
      </w:pPr>
    </w:p>
    <w:p w:rsidR="00BD3CF3" w:rsidRPr="00ED3C26" w:rsidRDefault="00BD3CF3" w:rsidP="00BD3CF3">
      <w:pPr>
        <w:widowControl w:val="0"/>
        <w:suppressAutoHyphens/>
        <w:ind w:firstLine="567"/>
        <w:contextualSpacing/>
        <w:jc w:val="both"/>
        <w:rPr>
          <w:sz w:val="20"/>
        </w:rPr>
      </w:pPr>
    </w:p>
    <w:p w:rsidR="00BD3CF3" w:rsidRPr="00ED3C26" w:rsidRDefault="00BD3CF3" w:rsidP="00BD3CF3">
      <w:pPr>
        <w:contextualSpacing/>
        <w:jc w:val="center"/>
        <w:rPr>
          <w:b/>
          <w:sz w:val="20"/>
        </w:rPr>
      </w:pPr>
      <w:r w:rsidRPr="00ED3C26">
        <w:rPr>
          <w:b/>
          <w:sz w:val="20"/>
        </w:rPr>
        <w:t>Порядок формирования цены контракта</w:t>
      </w:r>
    </w:p>
    <w:p w:rsidR="00BD3CF3" w:rsidRDefault="00BD3CF3" w:rsidP="00BD3CF3">
      <w:pPr>
        <w:ind w:firstLine="708"/>
        <w:contextualSpacing/>
        <w:jc w:val="both"/>
        <w:rPr>
          <w:sz w:val="20"/>
        </w:rPr>
      </w:pPr>
      <w:r w:rsidRPr="00201336">
        <w:rPr>
          <w:sz w:val="20"/>
        </w:rPr>
        <w:t>Для обоснования Н(М)ЦК использован метод сопоставимых рыночных цен (анализ рынка) на основе коммерческих предложений, предоставленных по запросу ценовой информации, размещенной Заказчиком в ЕИС в сфере закупок, согласно Распоряжению Правительства РФ от 18.09.2017 г. №1995-р.</w:t>
      </w:r>
    </w:p>
    <w:p w:rsidR="00B734F9" w:rsidRDefault="00BD3CF3"/>
    <w:sectPr w:rsidR="00B7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EE"/>
    <w:rsid w:val="00191B37"/>
    <w:rsid w:val="002B49EE"/>
    <w:rsid w:val="00BD3CF3"/>
    <w:rsid w:val="00E2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4714-FA5D-480F-AFD0-062097E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F3"/>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BD3CF3"/>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BD3CF3"/>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BD3CF3"/>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BD3CF3"/>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CF3"/>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BD3CF3"/>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BD3CF3"/>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BD3CF3"/>
    <w:rPr>
      <w:rFonts w:ascii="Times New Roman" w:eastAsia="Times New Roman" w:hAnsi="Times New Roman" w:cs="Times New Roman"/>
      <w:b/>
      <w:sz w:val="16"/>
      <w:szCs w:val="26"/>
      <w:shd w:val="clear" w:color="auto" w:fill="FFFFFF"/>
      <w:lang w:eastAsia="zh-CN"/>
    </w:rPr>
  </w:style>
  <w:style w:type="table" w:styleId="a3">
    <w:name w:val="Table Grid"/>
    <w:basedOn w:val="a1"/>
    <w:uiPriority w:val="59"/>
    <w:rsid w:val="00BD3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текст"/>
    <w:basedOn w:val="a"/>
    <w:link w:val="a5"/>
    <w:rsid w:val="00BD3CF3"/>
    <w:pPr>
      <w:suppressAutoHyphens/>
      <w:ind w:left="720"/>
      <w:jc w:val="center"/>
    </w:pPr>
    <w:rPr>
      <w:szCs w:val="24"/>
      <w:lang w:eastAsia="zh-CN"/>
    </w:rPr>
  </w:style>
  <w:style w:type="character" w:customStyle="1" w:styleId="a5">
    <w:name w:val="Основной текст с отступом Знак"/>
    <w:aliases w:val="текст Знак"/>
    <w:basedOn w:val="a0"/>
    <w:link w:val="a4"/>
    <w:rsid w:val="00BD3CF3"/>
    <w:rPr>
      <w:rFonts w:ascii="Times New Roman" w:eastAsia="Times New Roman" w:hAnsi="Times New Roman" w:cs="Times New Roman"/>
      <w:sz w:val="24"/>
      <w:szCs w:val="24"/>
      <w:lang w:eastAsia="zh-CN"/>
    </w:rPr>
  </w:style>
  <w:style w:type="paragraph" w:customStyle="1" w:styleId="ConsPlusNormal">
    <w:name w:val="ConsPlusNormal"/>
    <w:rsid w:val="00BD3CF3"/>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Воротынцева Оксана Николаевна</dc:creator>
  <cp:keywords/>
  <dc:description/>
  <cp:lastModifiedBy>Воротынцева Оксана Николаевна</cp:lastModifiedBy>
  <cp:revision>2</cp:revision>
  <dcterms:created xsi:type="dcterms:W3CDTF">2019-12-09T12:21:00Z</dcterms:created>
  <dcterms:modified xsi:type="dcterms:W3CDTF">2019-12-09T12:26:00Z</dcterms:modified>
</cp:coreProperties>
</file>