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A" w:rsidRPr="00F417A3" w:rsidRDefault="00AA5EDA" w:rsidP="00AA5ED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F417A3">
        <w:rPr>
          <w:b/>
        </w:rPr>
        <w:t>ТЕХНИЧЕСКОЕ ЗАДАНИЕ</w:t>
      </w:r>
    </w:p>
    <w:p w:rsidR="00AA5EDA" w:rsidRPr="00F417A3" w:rsidRDefault="00AA5EDA" w:rsidP="00AA5EDA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AA5EDA" w:rsidRPr="00F417A3" w:rsidRDefault="00AA5EDA" w:rsidP="00AA5ED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4561AE">
        <w:t xml:space="preserve">Наименование объекта закупки: </w:t>
      </w:r>
      <w:r>
        <w:t>п</w:t>
      </w:r>
      <w:r w:rsidRPr="004561AE">
        <w:t>оставка технических средств реабилитации (</w:t>
      </w:r>
      <w:r w:rsidRPr="00C8490A">
        <w:rPr>
          <w:lang w:eastAsia="ru-RU"/>
        </w:rPr>
        <w:t>ходунки</w:t>
      </w:r>
      <w:r w:rsidRPr="004561AE">
        <w:t>) для обеспечения в 2020 году инвалидов (для субъектов малого предпринимательства и социально ориентированных некоммерческих организаций).</w:t>
      </w:r>
    </w:p>
    <w:p w:rsidR="00AA5EDA" w:rsidRPr="00F417A3" w:rsidRDefault="00AA5EDA" w:rsidP="00AA5ED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AA5EDA" w:rsidRPr="00F417A3" w:rsidRDefault="00AA5EDA" w:rsidP="00AA5ED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4561AE">
        <w:t>Описание объекта закупки, количество закупаемого товара, объем закупаемых работ, услуг.</w:t>
      </w:r>
    </w:p>
    <w:p w:rsidR="00AA5EDA" w:rsidRPr="00F417A3" w:rsidRDefault="00AA5EDA" w:rsidP="00AA5EDA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tbl>
      <w:tblPr>
        <w:tblW w:w="9555" w:type="dxa"/>
        <w:jc w:val="center"/>
        <w:tblInd w:w="-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6237"/>
        <w:gridCol w:w="1303"/>
      </w:tblGrid>
      <w:tr w:rsidR="00AA5EDA" w:rsidTr="00006DC4">
        <w:trPr>
          <w:trHeight w:val="479"/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Наименование закупаемого товара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Описание функциональных и технических характеристик закупаемого товара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Количество закупаемого товара (штук)</w:t>
            </w:r>
          </w:p>
        </w:tc>
      </w:tr>
      <w:tr w:rsidR="00AA5EDA" w:rsidTr="00006DC4">
        <w:trPr>
          <w:trHeight w:val="479"/>
          <w:jc w:val="center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A" w:rsidRDefault="00AA5EDA" w:rsidP="00006DC4">
            <w:pPr>
              <w:keepNext/>
              <w:widowControl w:val="0"/>
              <w:suppressAutoHyphens w:val="0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A" w:rsidRDefault="00AA5EDA" w:rsidP="00006DC4">
            <w:pPr>
              <w:keepNext/>
              <w:widowControl w:val="0"/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A" w:rsidRDefault="00AA5EDA" w:rsidP="00006DC4">
            <w:pPr>
              <w:keepNext/>
              <w:widowControl w:val="0"/>
              <w:suppressAutoHyphens w:val="0"/>
            </w:pPr>
          </w:p>
        </w:tc>
      </w:tr>
      <w:tr w:rsidR="00AA5EDA" w:rsidTr="00006DC4">
        <w:trPr>
          <w:trHeight w:val="15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Ходунки шагающие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 xml:space="preserve">Ходунки должны иметь </w:t>
            </w:r>
            <w:proofErr w:type="spellStart"/>
            <w:r>
              <w:t>облегченный</w:t>
            </w:r>
            <w:proofErr w:type="spellEnd"/>
            <w:r>
              <w:t xml:space="preserve"> корпус из металлического сплава, ножки должны быть снабжены резиновыми наконечниками. 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 xml:space="preserve">Высота ходунков регулируется. 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>Шаг регулировки не более 30 мм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  <w:rPr>
                <w:bCs/>
                <w:i/>
                <w:spacing w:val="-4"/>
              </w:rPr>
            </w:pPr>
            <w:r>
              <w:t>Максимальная допустимая нагрузка: не менее 100 кг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 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 xml:space="preserve">Вес ходунков - не более 3 кг </w:t>
            </w:r>
            <w:r>
              <w:rPr>
                <w:bCs/>
                <w:i/>
                <w:spacing w:val="-4"/>
              </w:rPr>
              <w:t>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uppressAutoHyphens w:val="0"/>
              <w:jc w:val="both"/>
            </w:pPr>
            <w:r>
              <w:t>Ходунки должны иметь функцию «</w:t>
            </w:r>
            <w:proofErr w:type="spellStart"/>
            <w:r>
              <w:t>шагание</w:t>
            </w:r>
            <w:proofErr w:type="spellEnd"/>
            <w:r>
              <w:t>».</w:t>
            </w:r>
          </w:p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Гарантийный срок эксплуатации </w:t>
            </w:r>
            <w:r>
              <w:rPr>
                <w:rFonts w:eastAsia="Lucida Sans Unicode"/>
                <w:sz w:val="20"/>
                <w:szCs w:val="20"/>
                <w:lang w:bidi="en-US"/>
              </w:rPr>
              <w:t xml:space="preserve">товара должен быть не менее </w:t>
            </w:r>
            <w:r>
              <w:rPr>
                <w:iCs/>
                <w:sz w:val="20"/>
                <w:szCs w:val="20"/>
              </w:rPr>
              <w:t xml:space="preserve">6 месяцев </w:t>
            </w:r>
            <w:r>
              <w:rPr>
                <w:sz w:val="20"/>
                <w:szCs w:val="20"/>
              </w:rPr>
              <w:t xml:space="preserve">со дня выдачи товара Получателю и подписания Поставщиком и Получателем акта </w:t>
            </w:r>
            <w:proofErr w:type="spellStart"/>
            <w:r>
              <w:rPr>
                <w:sz w:val="20"/>
                <w:szCs w:val="20"/>
              </w:rPr>
              <w:t>приемки</w:t>
            </w:r>
            <w:proofErr w:type="spellEnd"/>
            <w:r>
              <w:rPr>
                <w:sz w:val="20"/>
                <w:szCs w:val="20"/>
              </w:rPr>
              <w:t>-передачи товара.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350</w:t>
            </w:r>
          </w:p>
        </w:tc>
      </w:tr>
      <w:tr w:rsidR="00AA5EDA" w:rsidTr="00006DC4">
        <w:trPr>
          <w:trHeight w:val="15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Ходунки на </w:t>
            </w:r>
            <w:proofErr w:type="spellStart"/>
            <w:r>
              <w:rPr>
                <w:sz w:val="20"/>
                <w:szCs w:val="20"/>
              </w:rPr>
              <w:t>колесах</w:t>
            </w:r>
            <w:proofErr w:type="spellEnd"/>
            <w:r>
              <w:rPr>
                <w:sz w:val="20"/>
                <w:szCs w:val="20"/>
              </w:rPr>
              <w:t xml:space="preserve"> (для взрослых)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ind w:firstLine="5"/>
              <w:jc w:val="both"/>
              <w:rPr>
                <w:bCs/>
                <w:i/>
                <w:spacing w:val="-4"/>
              </w:rPr>
            </w:pPr>
            <w:r>
              <w:t xml:space="preserve">Ходунки должны иметь </w:t>
            </w:r>
            <w:proofErr w:type="spellStart"/>
            <w:r>
              <w:t>облегченный</w:t>
            </w:r>
            <w:proofErr w:type="spellEnd"/>
            <w:r>
              <w:t xml:space="preserve"> корпус из металлического сплава. Высота ходунков регулируется. Шаг регулировки не более 30 миллиметров</w:t>
            </w:r>
            <w:proofErr w:type="gramStart"/>
            <w:r>
              <w:t>.</w:t>
            </w:r>
            <w:proofErr w:type="gramEnd"/>
            <w:r>
              <w:rPr>
                <w:bCs/>
                <w:i/>
                <w:spacing w:val="-4"/>
              </w:rPr>
              <w:t xml:space="preserve"> (</w:t>
            </w:r>
            <w:proofErr w:type="gramStart"/>
            <w:r>
              <w:rPr>
                <w:bCs/>
                <w:i/>
                <w:spacing w:val="-4"/>
              </w:rPr>
              <w:t>у</w:t>
            </w:r>
            <w:proofErr w:type="gramEnd"/>
            <w:r>
              <w:rPr>
                <w:bCs/>
                <w:i/>
                <w:spacing w:val="-4"/>
              </w:rPr>
              <w:t xml:space="preserve">частник в своей заявке должен конкретизировать данный показатель). </w:t>
            </w:r>
            <w:r>
              <w:t xml:space="preserve">Ходунки должны быть оснащены двумя или четырьмя </w:t>
            </w:r>
            <w:proofErr w:type="spellStart"/>
            <w:r>
              <w:t>колесами</w:t>
            </w:r>
            <w:proofErr w:type="spellEnd"/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ind w:firstLine="5"/>
              <w:jc w:val="both"/>
            </w:pPr>
            <w:r>
              <w:t>Максимальная допустимая нагрузка не менее - 100 килограмм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ind w:firstLine="5"/>
              <w:jc w:val="both"/>
            </w:pPr>
            <w:r>
              <w:t>Вес ходунков - не более 4,5 килограмм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uppressAutoHyphens w:val="0"/>
              <w:ind w:firstLine="6"/>
              <w:jc w:val="both"/>
            </w:pPr>
            <w:r>
              <w:rPr>
                <w:iCs/>
              </w:rPr>
              <w:t xml:space="preserve">Гарантийный срок: не менее 6 месяцев </w:t>
            </w:r>
            <w:proofErr w:type="gramStart"/>
            <w:r>
              <w:rPr>
                <w:iCs/>
              </w:rPr>
              <w:t>с даты выдачи</w:t>
            </w:r>
            <w:proofErr w:type="gramEnd"/>
            <w:r>
              <w:rPr>
                <w:iCs/>
              </w:rPr>
              <w:t xml:space="preserve"> товара Получателю и подписания </w:t>
            </w:r>
            <w:r>
              <w:t xml:space="preserve">Поставщиком и Получателем акта </w:t>
            </w:r>
            <w:proofErr w:type="spellStart"/>
            <w:r>
              <w:t>приемки</w:t>
            </w:r>
            <w:proofErr w:type="spellEnd"/>
            <w:r>
              <w:t>-передачи товара.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70</w:t>
            </w:r>
          </w:p>
        </w:tc>
      </w:tr>
      <w:tr w:rsidR="00AA5EDA" w:rsidTr="00006DC4">
        <w:trPr>
          <w:trHeight w:val="15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Ходунки на </w:t>
            </w:r>
            <w:proofErr w:type="spellStart"/>
            <w:r>
              <w:rPr>
                <w:sz w:val="20"/>
                <w:szCs w:val="20"/>
              </w:rPr>
              <w:t>колесах</w:t>
            </w:r>
            <w:proofErr w:type="spellEnd"/>
            <w:r>
              <w:rPr>
                <w:sz w:val="20"/>
                <w:szCs w:val="20"/>
              </w:rPr>
              <w:t xml:space="preserve"> (для детей)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 xml:space="preserve">Ходунки должны иметь </w:t>
            </w:r>
            <w:proofErr w:type="spellStart"/>
            <w:r>
              <w:t>облегченный</w:t>
            </w:r>
            <w:proofErr w:type="spellEnd"/>
            <w:r>
              <w:t xml:space="preserve"> корпус из металлического сплава.  Высота ходунков регулируется. Шаг регулировки не более 2,5 см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  <w:rPr>
                <w:bCs/>
                <w:i/>
                <w:spacing w:val="-4"/>
              </w:rPr>
            </w:pPr>
            <w:r>
              <w:t xml:space="preserve">Ходунки должны быть оснащены двумя или четырьмя </w:t>
            </w:r>
            <w:proofErr w:type="spellStart"/>
            <w:r>
              <w:t>колесами</w:t>
            </w:r>
            <w:proofErr w:type="spellEnd"/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>Максимальная допустимая нагрузка не менее - 45 кг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>Вес ходунков - не более 4 кг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</w:t>
            </w:r>
            <w:r>
              <w:t>.</w:t>
            </w:r>
          </w:p>
          <w:p w:rsidR="00AA5EDA" w:rsidRDefault="00AA5EDA" w:rsidP="00006DC4">
            <w:pPr>
              <w:keepNext/>
              <w:widowControl w:val="0"/>
              <w:suppressAutoHyphens w:val="0"/>
              <w:ind w:firstLine="6"/>
              <w:jc w:val="both"/>
            </w:pPr>
            <w:r>
              <w:t xml:space="preserve">Гарантийный срок эксплуатации </w:t>
            </w:r>
            <w:r>
              <w:rPr>
                <w:rFonts w:eastAsia="Lucida Sans Unicode"/>
                <w:lang w:bidi="en-US"/>
              </w:rPr>
              <w:t xml:space="preserve">товара должен быть не менее </w:t>
            </w:r>
            <w:r>
              <w:rPr>
                <w:iCs/>
              </w:rPr>
              <w:t xml:space="preserve">6 месяцев </w:t>
            </w:r>
            <w:r>
              <w:t xml:space="preserve">со дня выдачи товара Получателю и подписания Поставщиком и Получателем акта </w:t>
            </w:r>
            <w:proofErr w:type="spellStart"/>
            <w:r>
              <w:t>приемки</w:t>
            </w:r>
            <w:proofErr w:type="spellEnd"/>
            <w:r>
              <w:t>-передачи товара.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30</w:t>
            </w:r>
          </w:p>
        </w:tc>
      </w:tr>
      <w:tr w:rsidR="00AA5EDA" w:rsidTr="00006DC4">
        <w:trPr>
          <w:trHeight w:val="15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Ходунки с подмышечной опорой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 xml:space="preserve">Ходунки должны иметь </w:t>
            </w:r>
            <w:proofErr w:type="spellStart"/>
            <w:r>
              <w:t>облегченный</w:t>
            </w:r>
            <w:proofErr w:type="spellEnd"/>
            <w:r>
              <w:t xml:space="preserve"> корпус из металлического сплава. Ходунки с подмышечной опорой обеспечивают пациентам устойчивость при ходьбе. Подмышечные стойки снабжены мягкими валиками, предотвращающими травмы подмышечной впадины. Высота ходунков регулируется.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suppressAutoHyphens w:val="0"/>
              <w:jc w:val="both"/>
            </w:pPr>
            <w:r>
              <w:t>Наличие: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suppressAutoHyphens w:val="0"/>
              <w:jc w:val="both"/>
            </w:pPr>
            <w:r>
              <w:t>- четыре колеса;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suppressAutoHyphens w:val="0"/>
              <w:jc w:val="both"/>
            </w:pPr>
            <w:r>
              <w:t>- тормозная система.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>Ширина между поручнями не более 550 мм</w:t>
            </w:r>
            <w:r>
              <w:rPr>
                <w:bCs/>
                <w:i/>
                <w:spacing w:val="-4"/>
              </w:rPr>
              <w:t xml:space="preserve"> (участник в своей заявке </w:t>
            </w:r>
            <w:r>
              <w:rPr>
                <w:bCs/>
                <w:i/>
                <w:spacing w:val="-4"/>
              </w:rPr>
              <w:lastRenderedPageBreak/>
              <w:t>должен конкретизировать данный показатель)</w:t>
            </w:r>
            <w:r>
              <w:t>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>Масса не более 12 кг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</w:t>
            </w:r>
            <w:r>
              <w:t>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proofErr w:type="spellStart"/>
            <w:r>
              <w:t>Грузоподъемность</w:t>
            </w:r>
            <w:proofErr w:type="spellEnd"/>
            <w:r>
              <w:t xml:space="preserve"> не менее 100 кг</w:t>
            </w:r>
            <w:r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</w:t>
            </w:r>
            <w:r>
              <w:t>.</w:t>
            </w:r>
          </w:p>
          <w:p w:rsidR="00AA5EDA" w:rsidRDefault="00AA5EDA" w:rsidP="00006DC4">
            <w:pPr>
              <w:keepNext/>
              <w:widowControl w:val="0"/>
              <w:suppressAutoHyphens w:val="0"/>
              <w:ind w:firstLine="6"/>
              <w:jc w:val="both"/>
            </w:pPr>
            <w:r>
              <w:t xml:space="preserve">Гарантийный срок эксплуатации </w:t>
            </w:r>
            <w:r>
              <w:rPr>
                <w:rFonts w:eastAsia="Lucida Sans Unicode"/>
                <w:lang w:bidi="en-US"/>
              </w:rPr>
              <w:t xml:space="preserve">товара должен быть не менее </w:t>
            </w:r>
            <w:r>
              <w:rPr>
                <w:iCs/>
              </w:rPr>
              <w:t xml:space="preserve">6 месяцев </w:t>
            </w:r>
            <w:r>
              <w:t xml:space="preserve">со дня выдачи товара Получателю и подписания Поставщиком и Получателем акта </w:t>
            </w:r>
            <w:proofErr w:type="spellStart"/>
            <w:r>
              <w:t>приемки</w:t>
            </w:r>
            <w:proofErr w:type="spellEnd"/>
            <w:r>
              <w:t>-передачи товара.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lastRenderedPageBreak/>
              <w:t>24</w:t>
            </w:r>
          </w:p>
        </w:tc>
      </w:tr>
      <w:tr w:rsidR="00AA5EDA" w:rsidTr="00006DC4">
        <w:trPr>
          <w:trHeight w:val="15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Ходунки - </w:t>
            </w:r>
            <w:proofErr w:type="spellStart"/>
            <w:r>
              <w:rPr>
                <w:sz w:val="20"/>
                <w:szCs w:val="20"/>
              </w:rPr>
              <w:t>роллаторы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jc w:val="both"/>
            </w:pPr>
            <w:r>
              <w:t xml:space="preserve">Ходунки должны иметь </w:t>
            </w:r>
            <w:proofErr w:type="spellStart"/>
            <w:r>
              <w:t>облегченный</w:t>
            </w:r>
            <w:proofErr w:type="spellEnd"/>
            <w:r>
              <w:t xml:space="preserve"> корпус из металлического сплава. Ходунки создают дополнительную опору. Высота ходунков регулируется. </w:t>
            </w:r>
          </w:p>
          <w:p w:rsidR="00AA5EDA" w:rsidRDefault="00AA5EDA" w:rsidP="00006DC4">
            <w:pPr>
              <w:keepNext/>
              <w:widowControl w:val="0"/>
              <w:suppressAutoHyphens w:val="0"/>
              <w:jc w:val="both"/>
            </w:pPr>
            <w:r>
              <w:t>Наличие:</w:t>
            </w:r>
          </w:p>
          <w:p w:rsidR="00AA5EDA" w:rsidRDefault="00AA5EDA" w:rsidP="00006DC4">
            <w:pPr>
              <w:keepNext/>
              <w:widowControl w:val="0"/>
              <w:suppressAutoHyphens w:val="0"/>
              <w:jc w:val="both"/>
            </w:pPr>
            <w:r>
              <w:t>-тормозная система;</w:t>
            </w:r>
          </w:p>
          <w:p w:rsidR="00AA5EDA" w:rsidRDefault="00AA5EDA" w:rsidP="00006DC4">
            <w:pPr>
              <w:keepNext/>
              <w:widowControl w:val="0"/>
              <w:suppressAutoHyphens w:val="0"/>
              <w:jc w:val="both"/>
            </w:pPr>
            <w:r>
              <w:t>- четыре колеса;</w:t>
            </w:r>
          </w:p>
          <w:p w:rsidR="00AA5EDA" w:rsidRDefault="00AA5EDA" w:rsidP="00006DC4">
            <w:pPr>
              <w:keepNext/>
              <w:widowControl w:val="0"/>
              <w:suppressAutoHyphens w:val="0"/>
              <w:jc w:val="both"/>
            </w:pPr>
            <w:r>
              <w:t xml:space="preserve">-сидение для отдыха с опорой для спины или спинкой </w:t>
            </w:r>
            <w:r>
              <w:rPr>
                <w:bCs/>
                <w:i/>
                <w:spacing w:val="-4"/>
              </w:rPr>
              <w:t>(участник в своей заявке должен конкретизировать данный показатель)</w:t>
            </w:r>
            <w:r>
              <w:t>.</w:t>
            </w:r>
          </w:p>
          <w:p w:rsidR="00AA5EDA" w:rsidRDefault="00AA5EDA" w:rsidP="00006DC4">
            <w:pPr>
              <w:keepNext/>
              <w:widowControl w:val="0"/>
              <w:suppressAutoHyphens w:val="0"/>
              <w:jc w:val="both"/>
            </w:pPr>
            <w:r>
              <w:t>Ширина не более 60 см.</w:t>
            </w:r>
            <w:r>
              <w:rPr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tabs>
                <w:tab w:val="left" w:pos="9214"/>
              </w:tabs>
              <w:suppressAutoHyphens w:val="0"/>
              <w:jc w:val="both"/>
            </w:pPr>
            <w:proofErr w:type="spellStart"/>
            <w:r>
              <w:t>Грузоподъемность</w:t>
            </w:r>
            <w:proofErr w:type="spellEnd"/>
            <w:r>
              <w:t xml:space="preserve"> не менее 100 кг</w:t>
            </w:r>
            <w:proofErr w:type="gramStart"/>
            <w:r>
              <w:t>.</w:t>
            </w:r>
            <w:proofErr w:type="gramEnd"/>
            <w:r>
              <w:rPr>
                <w:i/>
                <w:spacing w:val="-4"/>
              </w:rPr>
              <w:t xml:space="preserve"> (</w:t>
            </w:r>
            <w:proofErr w:type="gramStart"/>
            <w:r>
              <w:rPr>
                <w:i/>
                <w:spacing w:val="-4"/>
              </w:rPr>
              <w:t>у</w:t>
            </w:r>
            <w:proofErr w:type="gramEnd"/>
            <w:r>
              <w:rPr>
                <w:i/>
                <w:spacing w:val="-4"/>
              </w:rPr>
              <w:t>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uppressAutoHyphens w:val="0"/>
              <w:ind w:firstLine="6"/>
              <w:jc w:val="both"/>
            </w:pPr>
            <w:r>
              <w:rPr>
                <w:iCs/>
              </w:rPr>
              <w:t xml:space="preserve">Гарантийный срок: не менее 6 месяцев </w:t>
            </w:r>
            <w:proofErr w:type="gramStart"/>
            <w:r>
              <w:rPr>
                <w:iCs/>
              </w:rPr>
              <w:t>с даты выдачи</w:t>
            </w:r>
            <w:proofErr w:type="gramEnd"/>
            <w:r>
              <w:rPr>
                <w:iCs/>
              </w:rPr>
              <w:t xml:space="preserve"> товара Получателю и подписания акта </w:t>
            </w:r>
            <w:proofErr w:type="spellStart"/>
            <w:r>
              <w:t>приемки</w:t>
            </w:r>
            <w:proofErr w:type="spellEnd"/>
            <w:r>
              <w:t>-передачи товара.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6</w:t>
            </w:r>
          </w:p>
        </w:tc>
      </w:tr>
      <w:tr w:rsidR="00AA5EDA" w:rsidTr="00006DC4">
        <w:trPr>
          <w:trHeight w:val="15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Ходунки с опорой на предплечье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 xml:space="preserve">Ходунки должны иметь </w:t>
            </w:r>
            <w:proofErr w:type="spellStart"/>
            <w:r>
              <w:t>облегченный</w:t>
            </w:r>
            <w:proofErr w:type="spellEnd"/>
            <w:r>
              <w:t xml:space="preserve"> корпус из металлического сплава. При передвижении в таких ходунках пациент опирается на предплечья, за </w:t>
            </w:r>
            <w:proofErr w:type="spellStart"/>
            <w:r>
              <w:t>счет</w:t>
            </w:r>
            <w:proofErr w:type="spellEnd"/>
            <w:r>
              <w:t xml:space="preserve"> чего снижается нагрузка на позвоночник и ноги. Высота ходунков регулируется. 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suppressAutoHyphens w:val="0"/>
              <w:jc w:val="both"/>
            </w:pPr>
            <w:r>
              <w:t>Наличие: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suppressAutoHyphens w:val="0"/>
              <w:jc w:val="both"/>
            </w:pPr>
            <w:r>
              <w:t>- мягкие опоры под локоть;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suppressAutoHyphens w:val="0"/>
              <w:jc w:val="both"/>
            </w:pPr>
            <w:r>
              <w:t>-четыре колеса;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suppressAutoHyphens w:val="0"/>
              <w:jc w:val="both"/>
            </w:pPr>
            <w:r>
              <w:t>-тормозная система.</w:t>
            </w:r>
          </w:p>
          <w:p w:rsidR="00AA5EDA" w:rsidRDefault="00AA5EDA" w:rsidP="00006DC4">
            <w:pPr>
              <w:keepNext/>
              <w:widowControl w:val="0"/>
              <w:shd w:val="clear" w:color="auto" w:fill="FFFFFF"/>
              <w:tabs>
                <w:tab w:val="left" w:pos="9214"/>
              </w:tabs>
              <w:suppressAutoHyphens w:val="0"/>
              <w:jc w:val="both"/>
            </w:pPr>
            <w:r>
              <w:t>Ширина не более 660 мм</w:t>
            </w:r>
            <w:proofErr w:type="gramStart"/>
            <w:r>
              <w:t>.</w:t>
            </w:r>
            <w:proofErr w:type="gramEnd"/>
            <w:r>
              <w:rPr>
                <w:bCs/>
                <w:i/>
                <w:spacing w:val="-4"/>
              </w:rPr>
              <w:t xml:space="preserve"> (</w:t>
            </w:r>
            <w:proofErr w:type="gramStart"/>
            <w:r>
              <w:rPr>
                <w:bCs/>
                <w:i/>
                <w:spacing w:val="-4"/>
              </w:rPr>
              <w:t>у</w:t>
            </w:r>
            <w:proofErr w:type="gramEnd"/>
            <w:r>
              <w:rPr>
                <w:bCs/>
                <w:i/>
                <w:spacing w:val="-4"/>
              </w:rPr>
              <w:t>частник в своей заявке должен конкретизировать данный показатель)</w:t>
            </w:r>
            <w:r>
              <w:t>. Максимальная допустимая нагрузка не менее - 100 кг</w:t>
            </w:r>
            <w:proofErr w:type="gramStart"/>
            <w:r>
              <w:t>.</w:t>
            </w:r>
            <w:proofErr w:type="gramEnd"/>
            <w:r>
              <w:rPr>
                <w:bCs/>
                <w:i/>
                <w:spacing w:val="-4"/>
              </w:rPr>
              <w:t xml:space="preserve"> (</w:t>
            </w:r>
            <w:proofErr w:type="gramStart"/>
            <w:r>
              <w:rPr>
                <w:bCs/>
                <w:i/>
                <w:spacing w:val="-4"/>
              </w:rPr>
              <w:t>у</w:t>
            </w:r>
            <w:proofErr w:type="gramEnd"/>
            <w:r>
              <w:rPr>
                <w:bCs/>
                <w:i/>
                <w:spacing w:val="-4"/>
              </w:rPr>
              <w:t>частник в своей заявке должен конкретизировать данный показатель).</w:t>
            </w:r>
          </w:p>
          <w:p w:rsidR="00AA5EDA" w:rsidRDefault="00AA5EDA" w:rsidP="00006DC4">
            <w:pPr>
              <w:keepNext/>
              <w:widowControl w:val="0"/>
              <w:suppressAutoHyphens w:val="0"/>
              <w:ind w:firstLine="6"/>
              <w:jc w:val="both"/>
            </w:pPr>
            <w:r>
              <w:rPr>
                <w:iCs/>
              </w:rPr>
              <w:t xml:space="preserve">Гарантийный срок: не менее 6 месяцев </w:t>
            </w:r>
            <w:proofErr w:type="gramStart"/>
            <w:r>
              <w:rPr>
                <w:iCs/>
              </w:rPr>
              <w:t>с даты выдачи</w:t>
            </w:r>
            <w:proofErr w:type="gramEnd"/>
            <w:r>
              <w:rPr>
                <w:iCs/>
              </w:rPr>
              <w:t xml:space="preserve"> товара Получателю и подписания а</w:t>
            </w:r>
            <w:r>
              <w:rPr>
                <w:bCs/>
                <w:iCs/>
              </w:rPr>
              <w:t xml:space="preserve">кта </w:t>
            </w:r>
            <w:proofErr w:type="spellStart"/>
            <w:r>
              <w:t>приемки</w:t>
            </w:r>
            <w:proofErr w:type="spellEnd"/>
            <w:r>
              <w:t>-передачи товара.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14</w:t>
            </w:r>
          </w:p>
        </w:tc>
      </w:tr>
      <w:tr w:rsidR="00AA5EDA" w:rsidTr="00006DC4">
        <w:trPr>
          <w:trHeight w:val="95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A" w:rsidRDefault="00AA5EDA" w:rsidP="00006DC4">
            <w:pPr>
              <w:pStyle w:val="a4"/>
              <w:keepNext/>
              <w:widowControl w:val="0"/>
              <w:suppressLineNumbers w:val="0"/>
              <w:suppressAutoHyphens w:val="0"/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A" w:rsidRDefault="00AA5EDA" w:rsidP="00006DC4">
            <w:pPr>
              <w:keepNext/>
              <w:widowControl w:val="0"/>
              <w:suppressAutoHyphens w:val="0"/>
              <w:ind w:hanging="2"/>
              <w:jc w:val="center"/>
            </w:pPr>
            <w:r>
              <w:t>494</w:t>
            </w:r>
          </w:p>
        </w:tc>
      </w:tr>
    </w:tbl>
    <w:p w:rsidR="00AA5EDA" w:rsidRPr="00F417A3" w:rsidRDefault="00AA5EDA" w:rsidP="00AA5EDA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</w:p>
    <w:p w:rsidR="00AA5EDA" w:rsidRPr="00F417A3" w:rsidRDefault="00AA5EDA" w:rsidP="00AA5EDA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</w:pP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Ходунки - приспособления, предназначенные для поддержания вертикального положения и ходьбы Получателей с выраженными нарушениями возможности передвижения. Ходунки не должны иметь трещин, отслоений покрытий и других дефектов внешнего вида при воздействии температуры воздуха от плюс 40</w:t>
      </w:r>
      <w:proofErr w:type="gramStart"/>
      <w:r>
        <w:t xml:space="preserve"> С</w:t>
      </w:r>
      <w:proofErr w:type="gramEnd"/>
      <w:r>
        <w:t xml:space="preserve"> до минус 40 С.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>Качество товара должно подтверждаться декларацией о соответствии по Постановлению Правительства РФ от 01.12</w:t>
      </w:r>
      <w:r>
        <w:rPr>
          <w:rFonts w:eastAsia="Lucida Sans Unicode"/>
          <w:bCs/>
          <w:kern w:val="2"/>
        </w:rPr>
        <w:t>.2009г. № 982 «</w:t>
      </w:r>
      <w: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r>
        <w:rPr>
          <w:rFonts w:eastAsia="Lucida Sans Unicode"/>
        </w:rPr>
        <w:t xml:space="preserve"> (Система сертификации ГОСТ).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>
        <w:t>Р</w:t>
      </w:r>
      <w:proofErr w:type="gramEnd"/>
      <w: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</w:t>
      </w:r>
      <w:r>
        <w:lastRenderedPageBreak/>
        <w:t xml:space="preserve">химических и токсикологических испытаний»; ГОСТ ИСО 10993-1-2011 «Изделия медицинские. Оценка биологического действия медицинских изделий. Часть 1. Оценка и исследования»;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>: методы</w:t>
      </w:r>
      <w:r>
        <w:rPr>
          <w:bCs/>
        </w:rPr>
        <w:t xml:space="preserve"> </w:t>
      </w:r>
      <w:proofErr w:type="spellStart"/>
      <w:r>
        <w:rPr>
          <w:bCs/>
        </w:rPr>
        <w:t>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vitro</w:t>
      </w:r>
      <w:proofErr w:type="spellEnd"/>
      <w:r>
        <w:rPr>
          <w:bCs/>
        </w:rPr>
        <w:t xml:space="preserve">»; ГОСТ ИСО 10993-10-2011 «Изделия медицинские. Оценка биологического действия медицинских изделий. Часть 10. Исследования раздражающего и </w:t>
      </w:r>
      <w:r>
        <w:t xml:space="preserve">сенсибилизирующего действия»,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ИСО 11199-1-2015 «Средства вспомогательные для ходьбы, управляемые обеими руками. Требования и методы испытаний. Часть 1. Ходунки», ГОСТ </w:t>
      </w:r>
      <w:proofErr w:type="gramStart"/>
      <w:r>
        <w:t>Р</w:t>
      </w:r>
      <w:proofErr w:type="gramEnd"/>
      <w:r>
        <w:t xml:space="preserve"> ИСО 11199-2-2010 «Средства вспомогательные для ходьбы, управляемые обеими руками. Требования и методы испытаний. Часть 2. </w:t>
      </w:r>
      <w:proofErr w:type="gramStart"/>
      <w:r>
        <w:t xml:space="preserve">Ходунки на </w:t>
      </w:r>
      <w:proofErr w:type="spellStart"/>
      <w:r>
        <w:t>колесиках</w:t>
      </w:r>
      <w:proofErr w:type="spellEnd"/>
      <w:r>
        <w:t>»).</w:t>
      </w:r>
      <w:proofErr w:type="gramEnd"/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 xml:space="preserve">Товар не должен выделять при эксплуатации токсичных и агрессивных веществ. 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Материалы, из которых изготавливается товар, не должны выделять токсичных веще</w:t>
      </w:r>
      <w:proofErr w:type="gramStart"/>
      <w:r>
        <w:t>ств пр</w:t>
      </w:r>
      <w:proofErr w:type="gramEnd"/>
      <w: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безопасность для кожных покровов;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эстетичность;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комфортность;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простота пользования.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Срок гарантийного ремонта товара со дня обращения Получателя не должен превышать 20 (двадцати) рабочих дней.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Маркировка упаковки товара должна включать: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условное обозначение группы товара, товарную марку (при наличии), обозначение номера товара (при наличии);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 xml:space="preserve">- страну-изготовителя; 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 xml:space="preserve">- отличительные характеристики товара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номер артикула (при наличии);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количество товара в упаковке;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дату (месяц, год) изготовления или гарантийный срок годности (при наличии);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правила использования (при необходимости);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штриховой код товара (при наличии);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- информацию о сертификации (при наличии).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 xml:space="preserve">Место доставки товара: </w:t>
      </w:r>
    </w:p>
    <w:p w:rsidR="00AA5EDA" w:rsidRPr="00F70380" w:rsidRDefault="00AA5EDA" w:rsidP="00AA5EDA">
      <w:pPr>
        <w:keepNext/>
        <w:widowControl w:val="0"/>
        <w:tabs>
          <w:tab w:val="left" w:pos="3495"/>
        </w:tabs>
        <w:suppressAutoHyphens w:val="0"/>
        <w:ind w:left="-47" w:right="-39" w:firstLine="898"/>
        <w:jc w:val="both"/>
      </w:pPr>
      <w:r w:rsidRPr="00F70380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F70380">
        <w:t>Р</w:t>
      </w:r>
      <w:proofErr w:type="gramEnd"/>
      <w:r w:rsidRPr="00F70380">
        <w:t>).</w:t>
      </w:r>
    </w:p>
    <w:p w:rsidR="00AA5EDA" w:rsidRDefault="00AA5EDA" w:rsidP="00AA5EDA">
      <w:pPr>
        <w:keepNext/>
        <w:widowControl w:val="0"/>
        <w:tabs>
          <w:tab w:val="left" w:pos="426"/>
        </w:tabs>
        <w:suppressAutoHyphens w:val="0"/>
        <w:ind w:firstLine="851"/>
        <w:jc w:val="both"/>
      </w:pPr>
      <w:r w:rsidRPr="00F70380">
        <w:t xml:space="preserve">В целях удобства Получателей осуществлять выдачу товара в пунктах выдачи товара, </w:t>
      </w:r>
      <w:r w:rsidRPr="00F70380">
        <w:lastRenderedPageBreak/>
        <w:t>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AA5EDA" w:rsidRDefault="00AA5EDA" w:rsidP="00AA5EDA">
      <w:pPr>
        <w:keepNext/>
        <w:widowControl w:val="0"/>
        <w:tabs>
          <w:tab w:val="left" w:pos="426"/>
        </w:tabs>
        <w:suppressAutoHyphens w:val="0"/>
        <w:ind w:firstLine="851"/>
        <w:jc w:val="both"/>
      </w:pPr>
      <w:r>
        <w:t xml:space="preserve">Срок поставки товара: </w:t>
      </w:r>
    </w:p>
    <w:p w:rsidR="00AA5EDA" w:rsidRPr="00E73C33" w:rsidRDefault="00AA5EDA" w:rsidP="00AA5EDA">
      <w:pPr>
        <w:keepNext/>
        <w:widowControl w:val="0"/>
        <w:tabs>
          <w:tab w:val="left" w:pos="0"/>
          <w:tab w:val="left" w:pos="3495"/>
        </w:tabs>
        <w:suppressAutoHyphens w:val="0"/>
        <w:ind w:left="-47" w:right="-63" w:firstLine="898"/>
        <w:jc w:val="both"/>
      </w:pPr>
      <w:r w:rsidRPr="00E73C33">
        <w:t xml:space="preserve">Этапы поставки товара до Получателя: </w:t>
      </w:r>
    </w:p>
    <w:p w:rsidR="00AA5EDA" w:rsidRPr="00E73C33" w:rsidRDefault="00AA5EDA" w:rsidP="00AA5EDA">
      <w:pPr>
        <w:keepNext/>
        <w:widowControl w:val="0"/>
        <w:tabs>
          <w:tab w:val="left" w:pos="0"/>
          <w:tab w:val="left" w:pos="3495"/>
        </w:tabs>
        <w:suppressAutoHyphens w:val="0"/>
        <w:ind w:left="-47" w:right="-63" w:firstLine="898"/>
        <w:jc w:val="both"/>
      </w:pPr>
      <w:r w:rsidRPr="00E73C33">
        <w:t xml:space="preserve">1.Этап. Со дня заключения контракта до 20.03.2020 г. должно быть поставлено не менее 30% общего </w:t>
      </w:r>
      <w:proofErr w:type="spellStart"/>
      <w:r w:rsidRPr="00E73C33">
        <w:t>объема</w:t>
      </w:r>
      <w:proofErr w:type="spellEnd"/>
      <w:r w:rsidRPr="00E73C33">
        <w:t xml:space="preserve"> товаров на сумму не менее </w:t>
      </w:r>
      <w:r>
        <w:t>238 183,95</w:t>
      </w:r>
      <w:r w:rsidRPr="00E73C33">
        <w:t xml:space="preserve"> руб. </w:t>
      </w:r>
    </w:p>
    <w:p w:rsidR="00AA5EDA" w:rsidRPr="00E73C33" w:rsidRDefault="00AA5EDA" w:rsidP="00AA5EDA">
      <w:pPr>
        <w:keepNext/>
        <w:widowControl w:val="0"/>
        <w:tabs>
          <w:tab w:val="left" w:pos="0"/>
          <w:tab w:val="left" w:pos="3495"/>
        </w:tabs>
        <w:suppressAutoHyphens w:val="0"/>
        <w:ind w:left="-47" w:right="-63" w:firstLine="898"/>
        <w:jc w:val="both"/>
      </w:pPr>
      <w:r w:rsidRPr="00E73C33">
        <w:t xml:space="preserve">2. Этап. До 20.05.2020г. должно быть поставлено не менее 60% общего </w:t>
      </w:r>
      <w:proofErr w:type="spellStart"/>
      <w:r w:rsidRPr="00E73C33">
        <w:t>объема</w:t>
      </w:r>
      <w:proofErr w:type="spellEnd"/>
      <w:r w:rsidRPr="00E73C33">
        <w:t xml:space="preserve"> товаров на сумму не менее </w:t>
      </w:r>
      <w:r>
        <w:t>238 183,95</w:t>
      </w:r>
      <w:r w:rsidRPr="00E73C33">
        <w:t xml:space="preserve"> руб. </w:t>
      </w:r>
    </w:p>
    <w:p w:rsidR="00AA5EDA" w:rsidRPr="00E73C33" w:rsidRDefault="00AA5EDA" w:rsidP="00AA5EDA">
      <w:pPr>
        <w:keepNext/>
        <w:widowControl w:val="0"/>
        <w:tabs>
          <w:tab w:val="left" w:pos="0"/>
          <w:tab w:val="left" w:pos="3495"/>
        </w:tabs>
        <w:suppressAutoHyphens w:val="0"/>
        <w:ind w:left="-47" w:right="-63" w:firstLine="898"/>
        <w:jc w:val="both"/>
      </w:pPr>
      <w:r w:rsidRPr="00E73C33">
        <w:t xml:space="preserve">3. Этап. До 31.07.2020г. должно быть поставлено 100% общего </w:t>
      </w:r>
      <w:proofErr w:type="spellStart"/>
      <w:r w:rsidRPr="00E73C33">
        <w:t>объема</w:t>
      </w:r>
      <w:proofErr w:type="spellEnd"/>
      <w:r w:rsidRPr="00E73C33">
        <w:t xml:space="preserve"> товаров на сумму </w:t>
      </w:r>
      <w:r>
        <w:t>565 571,90</w:t>
      </w:r>
      <w:r w:rsidRPr="00E73C33">
        <w:t xml:space="preserve"> руб.</w:t>
      </w:r>
    </w:p>
    <w:p w:rsidR="00AA5EDA" w:rsidRPr="00E73C33" w:rsidRDefault="00AA5EDA" w:rsidP="00AA5EDA">
      <w:pPr>
        <w:keepNext/>
        <w:widowControl w:val="0"/>
        <w:tabs>
          <w:tab w:val="left" w:pos="0"/>
          <w:tab w:val="left" w:pos="3495"/>
        </w:tabs>
        <w:suppressAutoHyphens w:val="0"/>
        <w:ind w:left="-47" w:right="-63" w:firstLine="898"/>
        <w:jc w:val="both"/>
      </w:pPr>
      <w:r w:rsidRPr="00E73C33">
        <w:t xml:space="preserve">В случае поставки в 1 или 2 этапах товара на сумму, большую, чем предусмотрено в 1 или 2 этапах, цена 2 и 3 этапов соразмерно уменьшается. </w:t>
      </w:r>
    </w:p>
    <w:p w:rsidR="00AA5EDA" w:rsidRPr="00E73C33" w:rsidRDefault="00AA5EDA" w:rsidP="00AA5EDA">
      <w:pPr>
        <w:keepNext/>
        <w:widowControl w:val="0"/>
        <w:tabs>
          <w:tab w:val="left" w:pos="0"/>
          <w:tab w:val="left" w:pos="3495"/>
        </w:tabs>
        <w:suppressAutoHyphens w:val="0"/>
        <w:ind w:left="-47" w:right="-63" w:firstLine="898"/>
        <w:jc w:val="both"/>
      </w:pPr>
      <w:r w:rsidRPr="00E73C33"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 w:rsidRPr="00E73C33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AA5EDA" w:rsidRDefault="00AA5EDA" w:rsidP="00AA5EDA">
      <w:pPr>
        <w:keepNext/>
        <w:widowControl w:val="0"/>
        <w:suppressAutoHyphens w:val="0"/>
        <w:ind w:firstLine="851"/>
        <w:jc w:val="both"/>
      </w:pPr>
      <w:r>
        <w:t xml:space="preserve">Поставщик гарантирует, что товар </w:t>
      </w:r>
      <w:proofErr w:type="spellStart"/>
      <w:r>
        <w:t>передается</w:t>
      </w:r>
      <w:proofErr w:type="spellEnd"/>
      <w:r>
        <w:t xml:space="preserve"> свободным от прав третьих лиц и не является предметом залога, ареста или иного обременения.</w:t>
      </w:r>
    </w:p>
    <w:p w:rsidR="00AA5EDA" w:rsidRDefault="00AA5EDA" w:rsidP="00AA5EDA">
      <w:pPr>
        <w:pStyle w:val="a3"/>
        <w:keepNext/>
        <w:widowControl w:val="0"/>
        <w:tabs>
          <w:tab w:val="left" w:pos="180"/>
        </w:tabs>
        <w:suppressAutoHyphens w:val="0"/>
        <w:rPr>
          <w:b/>
        </w:rPr>
      </w:pP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E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BEB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EDA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A5E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AA5EDA"/>
    <w:pPr>
      <w:suppressLineNumbers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A5ED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AA5EDA"/>
    <w:pPr>
      <w:suppressLineNumber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2019-12-24T04:14:00Z</dcterms:created>
  <dcterms:modified xsi:type="dcterms:W3CDTF">2019-12-24T04:15:00Z</dcterms:modified>
</cp:coreProperties>
</file>