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2C" w:rsidRPr="00F528AC" w:rsidRDefault="00BD032C" w:rsidP="00D92CDA">
      <w:pPr>
        <w:pStyle w:val="ab"/>
      </w:pPr>
      <w:bookmarkStart w:id="0" w:name="_GoBack"/>
      <w:bookmarkEnd w:id="0"/>
      <w:r w:rsidRPr="00F528AC">
        <w:t>ТЕХНИЧЕСКОЕ ЗАДАНИЕ</w:t>
      </w:r>
    </w:p>
    <w:p w:rsidR="00BD032C" w:rsidRPr="00F528AC" w:rsidRDefault="00BD032C" w:rsidP="009F3215">
      <w:pPr>
        <w:jc w:val="both"/>
      </w:pPr>
    </w:p>
    <w:p w:rsidR="00BD032C" w:rsidRPr="00F528AC" w:rsidRDefault="00BD032C" w:rsidP="009F3215">
      <w:pPr>
        <w:jc w:val="both"/>
      </w:pPr>
      <w:r w:rsidRPr="00F528AC">
        <w:t xml:space="preserve">Наименование объекта закупки: </w:t>
      </w:r>
      <w:r w:rsidR="009F3215" w:rsidRPr="00F528AC">
        <w:t>п</w:t>
      </w:r>
      <w:r w:rsidRPr="00F528AC">
        <w:t xml:space="preserve">оставка </w:t>
      </w:r>
      <w:r w:rsidR="00CC2364" w:rsidRPr="00CC2364">
        <w:t>опор</w:t>
      </w:r>
      <w:r w:rsidRPr="00F528AC">
        <w:t>.</w:t>
      </w:r>
      <w:r w:rsidR="004A276A" w:rsidRPr="00F528AC">
        <w:t xml:space="preserve"> </w:t>
      </w:r>
    </w:p>
    <w:p w:rsidR="00BD032C" w:rsidRPr="00F528AC" w:rsidRDefault="00BD032C" w:rsidP="009F3215">
      <w:pPr>
        <w:jc w:val="both"/>
      </w:pPr>
    </w:p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8"/>
        <w:gridCol w:w="1655"/>
        <w:gridCol w:w="1236"/>
        <w:gridCol w:w="187"/>
        <w:gridCol w:w="2627"/>
        <w:gridCol w:w="1798"/>
        <w:gridCol w:w="1219"/>
      </w:tblGrid>
      <w:tr w:rsidR="000842A1" w:rsidRPr="00C11373" w:rsidTr="000842A1">
        <w:trPr>
          <w:trHeight w:val="461"/>
        </w:trPr>
        <w:tc>
          <w:tcPr>
            <w:tcW w:w="1012" w:type="dxa"/>
            <w:tcBorders>
              <w:left w:val="single" w:sz="4" w:space="0" w:color="000000"/>
              <w:right w:val="nil"/>
            </w:tcBorders>
          </w:tcPr>
          <w:p w:rsidR="000842A1" w:rsidRPr="000842A1" w:rsidRDefault="000842A1" w:rsidP="00C11373">
            <w:pPr>
              <w:jc w:val="both"/>
            </w:pPr>
            <w:r>
              <w:t>№ п/п</w:t>
            </w:r>
          </w:p>
        </w:tc>
        <w:tc>
          <w:tcPr>
            <w:tcW w:w="1673" w:type="dxa"/>
            <w:tcBorders>
              <w:left w:val="single" w:sz="4" w:space="0" w:color="000000"/>
              <w:right w:val="nil"/>
            </w:tcBorders>
          </w:tcPr>
          <w:p w:rsidR="000842A1" w:rsidRPr="00C11373" w:rsidRDefault="000842A1" w:rsidP="00C11373">
            <w:pPr>
              <w:jc w:val="both"/>
            </w:pPr>
            <w:r w:rsidRPr="000842A1">
              <w:t>Наименование товара, работы, услуги по КТРУ (в соответствии с каталогом товаров, работ, услуг, формирующимся в ЕИС в сфере закупок)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0842A1" w:rsidRPr="00C11373" w:rsidRDefault="000842A1" w:rsidP="00C11373">
            <w:pPr>
              <w:jc w:val="both"/>
            </w:pPr>
            <w:r w:rsidRPr="00C11373">
              <w:t>Наименование закупаемого товара</w:t>
            </w:r>
          </w:p>
        </w:tc>
        <w:tc>
          <w:tcPr>
            <w:tcW w:w="3147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0842A1" w:rsidRPr="00C11373" w:rsidRDefault="000842A1" w:rsidP="00C11373">
            <w:pPr>
              <w:jc w:val="both"/>
            </w:pPr>
            <w:r w:rsidRPr="00C11373">
              <w:t xml:space="preserve">Описание функциональных и технических характеристик закупаемого товара </w:t>
            </w:r>
          </w:p>
          <w:p w:rsidR="000842A1" w:rsidRPr="00C11373" w:rsidRDefault="000842A1" w:rsidP="00C11373">
            <w:pPr>
              <w:jc w:val="both"/>
            </w:pPr>
            <w:r w:rsidRPr="00C11373">
              <w:t>(участник в своей заявке должен указать конкретные показатели)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0842A1" w:rsidRPr="00C11373" w:rsidRDefault="000842A1" w:rsidP="00C11373">
            <w:pPr>
              <w:jc w:val="both"/>
            </w:pPr>
            <w:r w:rsidRPr="000842A1">
              <w:t>Показатели, в отношении которых Заказчиком установлены максимальные и (или) минимальные значения закупаемого товара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</w:tcMar>
          </w:tcPr>
          <w:p w:rsidR="000842A1" w:rsidRPr="00C11373" w:rsidRDefault="000842A1" w:rsidP="00C11373">
            <w:pPr>
              <w:jc w:val="both"/>
            </w:pPr>
            <w:r w:rsidRPr="00C11373">
              <w:t>Количество</w:t>
            </w:r>
          </w:p>
          <w:p w:rsidR="000842A1" w:rsidRPr="00C11373" w:rsidRDefault="000842A1" w:rsidP="00C11373">
            <w:pPr>
              <w:jc w:val="both"/>
            </w:pPr>
            <w:r w:rsidRPr="00C11373">
              <w:t>закупаемого товара (шт.)</w:t>
            </w:r>
          </w:p>
        </w:tc>
      </w:tr>
      <w:tr w:rsidR="000842A1" w:rsidRPr="00C11373" w:rsidTr="000842A1">
        <w:trPr>
          <w:trHeight w:val="461"/>
        </w:trPr>
        <w:tc>
          <w:tcPr>
            <w:tcW w:w="1012" w:type="dxa"/>
            <w:tcBorders>
              <w:left w:val="single" w:sz="4" w:space="0" w:color="000000"/>
              <w:right w:val="nil"/>
            </w:tcBorders>
          </w:tcPr>
          <w:p w:rsidR="000842A1" w:rsidRPr="00C11373" w:rsidRDefault="000842A1" w:rsidP="00C11373">
            <w:pPr>
              <w:jc w:val="both"/>
            </w:pPr>
            <w:r>
              <w:t>1</w:t>
            </w:r>
          </w:p>
        </w:tc>
        <w:tc>
          <w:tcPr>
            <w:tcW w:w="1673" w:type="dxa"/>
            <w:tcBorders>
              <w:left w:val="single" w:sz="4" w:space="0" w:color="000000"/>
              <w:right w:val="nil"/>
            </w:tcBorders>
          </w:tcPr>
          <w:p w:rsidR="000842A1" w:rsidRPr="000842A1" w:rsidRDefault="000842A1" w:rsidP="000842A1">
            <w:pPr>
              <w:jc w:val="center"/>
            </w:pPr>
            <w:r w:rsidRPr="000842A1">
              <w:t>Приспособления ортопедические прочие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0842A1" w:rsidRPr="00C11373" w:rsidRDefault="000842A1" w:rsidP="00C11373">
            <w:pPr>
              <w:jc w:val="both"/>
            </w:pPr>
            <w:r w:rsidRPr="00C11373">
              <w:t>Опоры для ползания для детей-инвалидов</w:t>
            </w:r>
          </w:p>
        </w:tc>
        <w:tc>
          <w:tcPr>
            <w:tcW w:w="3147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0842A1" w:rsidRDefault="000842A1" w:rsidP="00D20A15">
            <w:pPr>
              <w:jc w:val="both"/>
            </w:pPr>
            <w:r>
              <w:t>Опора для ползания предназначена для обучения навыку ползания детей с нарушениями двигательной функции и для детей больных церебральным параличом. Занятие на опоре имитируют естественное ползание, позволяют тренировать коленные суставы и мышцы ребенка, закрепляя навыки, необходимые для дальнейшего освоения ребенком стояния и ходьбы.</w:t>
            </w:r>
          </w:p>
          <w:p w:rsidR="000842A1" w:rsidRDefault="000842A1" w:rsidP="00D20A15">
            <w:pPr>
              <w:jc w:val="both"/>
            </w:pPr>
            <w:r>
              <w:t>Опора должна быть оснащена четырьмя колесами;</w:t>
            </w:r>
          </w:p>
          <w:p w:rsidR="000842A1" w:rsidRDefault="000842A1" w:rsidP="00D20A15">
            <w:pPr>
              <w:jc w:val="both"/>
            </w:pPr>
            <w:r>
              <w:t>Опора должна быть оснащена тормозными механизмами;</w:t>
            </w:r>
          </w:p>
          <w:p w:rsidR="000842A1" w:rsidRDefault="000842A1" w:rsidP="00D20A15">
            <w:pPr>
              <w:jc w:val="both"/>
            </w:pPr>
            <w:r>
              <w:t>Опора должна быть оснащена поддерживающими ремнями;</w:t>
            </w:r>
          </w:p>
          <w:p w:rsidR="000842A1" w:rsidRPr="000842A1" w:rsidRDefault="000842A1" w:rsidP="00D20A15">
            <w:pPr>
              <w:jc w:val="both"/>
            </w:pPr>
            <w:r>
              <w:t>Опора должна регулироваться по высоте.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0842A1" w:rsidRPr="00D20A15" w:rsidRDefault="000842A1" w:rsidP="000842A1">
            <w:pPr>
              <w:jc w:val="both"/>
            </w:pPr>
            <w:r w:rsidRPr="00D20A15">
              <w:t>Длина опоры</w:t>
            </w:r>
            <w:r>
              <w:t xml:space="preserve"> -</w:t>
            </w:r>
            <w:r w:rsidRPr="00D20A15">
              <w:t xml:space="preserve"> не менее 45 см.</w:t>
            </w:r>
            <w:r>
              <w:t xml:space="preserve">, но </w:t>
            </w:r>
            <w:r w:rsidRPr="00D20A15">
              <w:t xml:space="preserve">не более 65 см. </w:t>
            </w:r>
          </w:p>
          <w:p w:rsidR="000842A1" w:rsidRPr="00D20A15" w:rsidRDefault="000842A1" w:rsidP="000842A1">
            <w:pPr>
              <w:jc w:val="both"/>
            </w:pPr>
            <w:r w:rsidRPr="00D20A15">
              <w:t>Ширина опоры</w:t>
            </w:r>
            <w:r>
              <w:t xml:space="preserve"> - не менее 55 см., но</w:t>
            </w:r>
            <w:r w:rsidRPr="00D20A15">
              <w:t xml:space="preserve"> не более 60 см. </w:t>
            </w:r>
          </w:p>
          <w:p w:rsidR="000842A1" w:rsidRDefault="000842A1" w:rsidP="000842A1">
            <w:pPr>
              <w:jc w:val="both"/>
              <w:rPr>
                <w:lang w:val="en-US"/>
              </w:rPr>
            </w:pPr>
            <w:r w:rsidRPr="00D20A15">
              <w:rPr>
                <w:lang w:val="en-US"/>
              </w:rPr>
              <w:t>Вес не более 4,5 кг.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</w:tcMar>
          </w:tcPr>
          <w:p w:rsidR="000842A1" w:rsidRPr="006614F0" w:rsidRDefault="000842A1" w:rsidP="00C113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0842A1" w:rsidRPr="00C11373" w:rsidTr="000842A1">
        <w:trPr>
          <w:trHeight w:val="461"/>
        </w:trPr>
        <w:tc>
          <w:tcPr>
            <w:tcW w:w="1012" w:type="dxa"/>
            <w:tcBorders>
              <w:left w:val="single" w:sz="4" w:space="0" w:color="000000"/>
              <w:right w:val="nil"/>
            </w:tcBorders>
          </w:tcPr>
          <w:p w:rsidR="000842A1" w:rsidRPr="00C11373" w:rsidRDefault="000842A1" w:rsidP="00C11373">
            <w:pPr>
              <w:jc w:val="both"/>
            </w:pPr>
            <w:r>
              <w:t>2</w:t>
            </w:r>
          </w:p>
        </w:tc>
        <w:tc>
          <w:tcPr>
            <w:tcW w:w="1673" w:type="dxa"/>
            <w:tcBorders>
              <w:left w:val="single" w:sz="4" w:space="0" w:color="000000"/>
              <w:right w:val="nil"/>
            </w:tcBorders>
          </w:tcPr>
          <w:p w:rsidR="000842A1" w:rsidRPr="00C11373" w:rsidRDefault="000842A1" w:rsidP="00C11373">
            <w:pPr>
              <w:jc w:val="both"/>
            </w:pPr>
            <w:r w:rsidRPr="000842A1">
              <w:t>Приспособления ортопедические прочие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0842A1" w:rsidRPr="00C11373" w:rsidRDefault="000842A1" w:rsidP="00C11373">
            <w:pPr>
              <w:jc w:val="both"/>
            </w:pPr>
            <w:r w:rsidRPr="00C11373">
              <w:t>Опоры для стояния для детей-инвалидов</w:t>
            </w:r>
          </w:p>
        </w:tc>
        <w:tc>
          <w:tcPr>
            <w:tcW w:w="3147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0842A1" w:rsidRDefault="000842A1" w:rsidP="00D20A15">
            <w:pPr>
              <w:jc w:val="both"/>
            </w:pPr>
            <w:r>
              <w:t>Опора для стояния с изменяемым углом наклона от горизонтального до вертикального положения для детей-инвалидов предназначена для вертикализации в положении лежа на спине (вертикализатор с обратным наклоном).</w:t>
            </w:r>
          </w:p>
          <w:p w:rsidR="000842A1" w:rsidRDefault="000842A1" w:rsidP="00D20A15">
            <w:pPr>
              <w:jc w:val="both"/>
            </w:pPr>
            <w:r>
              <w:t xml:space="preserve">Опора должна являться средством реабилитации, предназначенным для обучения навыкам вертикального положения ребенка. Опора должна развивать у ребенка основные бытовые навыки, побуждать к играм, стимулировать его физическое и умственное </w:t>
            </w:r>
            <w:r>
              <w:lastRenderedPageBreak/>
              <w:t>развитие, способствовать его адаптации в обществе.</w:t>
            </w:r>
          </w:p>
          <w:p w:rsidR="000842A1" w:rsidRDefault="000842A1" w:rsidP="00D20A15">
            <w:pPr>
              <w:jc w:val="both"/>
            </w:pPr>
            <w:r>
              <w:t>Опора для стояния предназначена для позиционной терапии детей (лечение положением) в процессе комплексной реабилитации.</w:t>
            </w:r>
          </w:p>
          <w:p w:rsidR="000842A1" w:rsidRDefault="000842A1" w:rsidP="00D20A15">
            <w:pPr>
              <w:jc w:val="both"/>
            </w:pPr>
            <w:r>
              <w:t>Опора для стояния должна иметь:</w:t>
            </w:r>
          </w:p>
          <w:p w:rsidR="000842A1" w:rsidRDefault="000842A1" w:rsidP="00D20A15">
            <w:pPr>
              <w:jc w:val="both"/>
            </w:pPr>
            <w:r>
              <w:t>- крепления для стоп, с регулировкой;</w:t>
            </w:r>
          </w:p>
          <w:p w:rsidR="000842A1" w:rsidRDefault="000842A1" w:rsidP="00D20A15">
            <w:pPr>
              <w:jc w:val="both"/>
            </w:pPr>
            <w:r>
              <w:t>- крепления голеней, с регулировкой;</w:t>
            </w:r>
          </w:p>
          <w:p w:rsidR="000842A1" w:rsidRDefault="000842A1" w:rsidP="00D20A15">
            <w:pPr>
              <w:jc w:val="both"/>
            </w:pPr>
            <w:r>
              <w:t>- крепления грудного и тазобедренного отдела, с регулировкой;</w:t>
            </w:r>
          </w:p>
          <w:p w:rsidR="000842A1" w:rsidRDefault="000842A1" w:rsidP="00D20A15">
            <w:pPr>
              <w:jc w:val="both"/>
            </w:pPr>
            <w:r>
              <w:t>-возможность жесткой фиксации и регулировку угла наклона;</w:t>
            </w:r>
          </w:p>
          <w:p w:rsidR="000842A1" w:rsidRDefault="000842A1" w:rsidP="00D20A15">
            <w:pPr>
              <w:jc w:val="both"/>
            </w:pPr>
            <w:r>
              <w:t>- съемную столешницу (столик для занятий и приема пищи);</w:t>
            </w:r>
          </w:p>
          <w:p w:rsidR="000842A1" w:rsidRPr="000842A1" w:rsidRDefault="000842A1" w:rsidP="00D20A15">
            <w:pPr>
              <w:jc w:val="both"/>
            </w:pPr>
            <w:r>
              <w:t>- мягкие элементы на поролоне, обтянуты экологически чистым материалом.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0842A1" w:rsidRDefault="000842A1" w:rsidP="000842A1">
            <w:pPr>
              <w:jc w:val="both"/>
            </w:pPr>
            <w:r>
              <w:lastRenderedPageBreak/>
              <w:t>1. Предназначена для детей в возрасте от 3-8 лет и ростом от 50 см -125 см</w:t>
            </w:r>
          </w:p>
          <w:p w:rsidR="000842A1" w:rsidRDefault="000842A1" w:rsidP="000842A1">
            <w:pPr>
              <w:jc w:val="both"/>
            </w:pPr>
            <w:r>
              <w:t>Грузоподъемность: не менее 90 кг</w:t>
            </w:r>
          </w:p>
          <w:p w:rsidR="000842A1" w:rsidRDefault="000842A1" w:rsidP="000842A1">
            <w:pPr>
              <w:jc w:val="both"/>
            </w:pPr>
          </w:p>
          <w:p w:rsidR="000842A1" w:rsidRDefault="000842A1" w:rsidP="000842A1">
            <w:pPr>
              <w:jc w:val="both"/>
            </w:pPr>
            <w:r>
              <w:t>2. Предназначена для детей в возрасте от 8-15 лет и ростом от 120 см - 150 см</w:t>
            </w:r>
          </w:p>
          <w:p w:rsidR="000842A1" w:rsidRPr="000842A1" w:rsidRDefault="000842A1" w:rsidP="000842A1">
            <w:pPr>
              <w:jc w:val="both"/>
            </w:pPr>
            <w:r>
              <w:t>Грузоподъемность: не менее 120 кг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</w:tcMar>
          </w:tcPr>
          <w:p w:rsidR="000842A1" w:rsidRPr="000842A1" w:rsidRDefault="000842A1" w:rsidP="00C11373">
            <w:pPr>
              <w:jc w:val="both"/>
            </w:pPr>
          </w:p>
          <w:p w:rsidR="000842A1" w:rsidRPr="000842A1" w:rsidRDefault="000842A1" w:rsidP="00C11373">
            <w:pPr>
              <w:jc w:val="both"/>
            </w:pPr>
          </w:p>
          <w:p w:rsidR="000842A1" w:rsidRPr="00CD2EF4" w:rsidRDefault="000842A1" w:rsidP="00C11373">
            <w:pPr>
              <w:jc w:val="both"/>
            </w:pPr>
            <w:r>
              <w:t>15</w:t>
            </w:r>
          </w:p>
          <w:p w:rsidR="000842A1" w:rsidRDefault="000842A1" w:rsidP="00C11373">
            <w:pPr>
              <w:jc w:val="both"/>
              <w:rPr>
                <w:lang w:val="en-US"/>
              </w:rPr>
            </w:pPr>
          </w:p>
          <w:p w:rsidR="000842A1" w:rsidRDefault="000842A1" w:rsidP="00C11373">
            <w:pPr>
              <w:jc w:val="both"/>
              <w:rPr>
                <w:lang w:val="en-US"/>
              </w:rPr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</w:pPr>
          </w:p>
          <w:p w:rsidR="000842A1" w:rsidRPr="00CD2EF4" w:rsidRDefault="000842A1" w:rsidP="00C11373">
            <w:pPr>
              <w:jc w:val="both"/>
            </w:pPr>
            <w:r>
              <w:t>15</w:t>
            </w:r>
          </w:p>
        </w:tc>
      </w:tr>
      <w:tr w:rsidR="000842A1" w:rsidRPr="00C11373" w:rsidTr="000842A1">
        <w:trPr>
          <w:trHeight w:val="461"/>
        </w:trPr>
        <w:tc>
          <w:tcPr>
            <w:tcW w:w="1012" w:type="dxa"/>
            <w:tcBorders>
              <w:left w:val="single" w:sz="4" w:space="0" w:color="000000"/>
              <w:right w:val="nil"/>
            </w:tcBorders>
          </w:tcPr>
          <w:p w:rsidR="000842A1" w:rsidRPr="00C11373" w:rsidRDefault="000842A1" w:rsidP="00C11373">
            <w:pPr>
              <w:jc w:val="both"/>
            </w:pPr>
            <w:r>
              <w:lastRenderedPageBreak/>
              <w:t>3</w:t>
            </w:r>
          </w:p>
        </w:tc>
        <w:tc>
          <w:tcPr>
            <w:tcW w:w="1673" w:type="dxa"/>
            <w:tcBorders>
              <w:left w:val="single" w:sz="4" w:space="0" w:color="000000"/>
              <w:right w:val="nil"/>
            </w:tcBorders>
          </w:tcPr>
          <w:p w:rsidR="000842A1" w:rsidRPr="00C11373" w:rsidRDefault="000842A1" w:rsidP="00C11373">
            <w:pPr>
              <w:jc w:val="both"/>
            </w:pPr>
            <w:r w:rsidRPr="000842A1">
              <w:t>Приспособления ортопедические прочие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0842A1" w:rsidRPr="00C11373" w:rsidRDefault="000842A1" w:rsidP="00C11373">
            <w:pPr>
              <w:jc w:val="both"/>
            </w:pPr>
            <w:r w:rsidRPr="00C11373">
              <w:t>Опоры для сидения для детей-инвалидов</w:t>
            </w:r>
          </w:p>
        </w:tc>
        <w:tc>
          <w:tcPr>
            <w:tcW w:w="3147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0842A1" w:rsidRDefault="000842A1" w:rsidP="00D20A15">
            <w:pPr>
              <w:jc w:val="both"/>
            </w:pPr>
            <w:r>
              <w:t>Опора для сидения предназначена для реабилитационных мероприятий с детьми с ограниченными возможностями, с патологиями различной степени тяжести.</w:t>
            </w:r>
          </w:p>
          <w:p w:rsidR="000842A1" w:rsidRDefault="000842A1" w:rsidP="00D20A15">
            <w:pPr>
              <w:jc w:val="both"/>
            </w:pPr>
            <w:r>
              <w:t>В конструкции опоры для сидения должны быть предусмотрены следующие регулировки:</w:t>
            </w:r>
          </w:p>
          <w:p w:rsidR="000842A1" w:rsidRDefault="000842A1" w:rsidP="00D20A15">
            <w:pPr>
              <w:jc w:val="both"/>
            </w:pPr>
            <w:r>
              <w:t>- высоты и наклона подножки;</w:t>
            </w:r>
          </w:p>
          <w:p w:rsidR="000842A1" w:rsidRDefault="000842A1" w:rsidP="00D20A15">
            <w:pPr>
              <w:jc w:val="both"/>
            </w:pPr>
            <w:r>
              <w:t>-положения стоп;</w:t>
            </w:r>
          </w:p>
          <w:p w:rsidR="000842A1" w:rsidRDefault="000842A1" w:rsidP="00D20A15">
            <w:pPr>
              <w:jc w:val="both"/>
            </w:pPr>
            <w:r>
              <w:t>- высоты подлокотников;</w:t>
            </w:r>
          </w:p>
          <w:p w:rsidR="000842A1" w:rsidRDefault="000842A1" w:rsidP="00D20A15">
            <w:pPr>
              <w:jc w:val="both"/>
            </w:pPr>
            <w:r>
              <w:t>- наличие боковых поддержек;</w:t>
            </w:r>
          </w:p>
          <w:p w:rsidR="000842A1" w:rsidRDefault="000842A1" w:rsidP="00D20A15">
            <w:pPr>
              <w:jc w:val="both"/>
            </w:pPr>
            <w:r>
              <w:t xml:space="preserve">- угла наклона спинки. </w:t>
            </w:r>
          </w:p>
          <w:p w:rsidR="000842A1" w:rsidRDefault="000842A1" w:rsidP="00D20A15">
            <w:pPr>
              <w:jc w:val="both"/>
            </w:pPr>
            <w:r>
              <w:t>- наличие подголовника;</w:t>
            </w:r>
          </w:p>
          <w:p w:rsidR="000842A1" w:rsidRDefault="000842A1" w:rsidP="00D20A15">
            <w:pPr>
              <w:jc w:val="both"/>
            </w:pPr>
            <w:r>
              <w:t>- наличие съемного столика;</w:t>
            </w:r>
          </w:p>
          <w:p w:rsidR="000842A1" w:rsidRDefault="000842A1" w:rsidP="00D20A15">
            <w:pPr>
              <w:jc w:val="both"/>
            </w:pPr>
            <w:r>
              <w:t xml:space="preserve">- наличие абдукатора; </w:t>
            </w:r>
          </w:p>
          <w:p w:rsidR="000842A1" w:rsidRPr="00D20A15" w:rsidRDefault="000842A1" w:rsidP="00D20A15">
            <w:pPr>
              <w:jc w:val="both"/>
            </w:pPr>
            <w:r>
              <w:t>- крепежные ремни.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0842A1" w:rsidRDefault="000842A1" w:rsidP="000842A1">
            <w:pPr>
              <w:jc w:val="both"/>
            </w:pPr>
            <w:r>
              <w:t>1. Предназначена для возраста от 1,5- 4 лет</w:t>
            </w:r>
          </w:p>
          <w:p w:rsidR="000842A1" w:rsidRDefault="000842A1" w:rsidP="000842A1">
            <w:pPr>
              <w:jc w:val="both"/>
            </w:pPr>
            <w:r>
              <w:t xml:space="preserve">Ширина сидения: </w:t>
            </w:r>
            <w:r w:rsidR="004F0BAB">
              <w:t>не менее 25 см, но</w:t>
            </w:r>
            <w:r>
              <w:t xml:space="preserve"> не более 30 см  </w:t>
            </w:r>
          </w:p>
          <w:p w:rsidR="000842A1" w:rsidRDefault="000842A1" w:rsidP="000842A1">
            <w:pPr>
              <w:jc w:val="both"/>
            </w:pPr>
            <w:r>
              <w:t>Глубина сидения: не менее 25 см</w:t>
            </w:r>
            <w:r w:rsidR="004F0BAB">
              <w:t>, но</w:t>
            </w:r>
            <w:r>
              <w:t xml:space="preserve"> не более 30 см  </w:t>
            </w:r>
          </w:p>
          <w:p w:rsidR="000842A1" w:rsidRDefault="000842A1" w:rsidP="000842A1">
            <w:pPr>
              <w:jc w:val="both"/>
            </w:pPr>
            <w:r>
              <w:t>Высота спинки: не менее 45 см</w:t>
            </w:r>
            <w:r w:rsidR="004F0BAB">
              <w:t>,</w:t>
            </w:r>
            <w:r>
              <w:t xml:space="preserve"> </w:t>
            </w:r>
            <w:r w:rsidR="004F0BAB">
              <w:t>н</w:t>
            </w:r>
            <w:r>
              <w:t>о не более 50 см  Грузоподъемность: не менее 70 кг</w:t>
            </w:r>
          </w:p>
          <w:p w:rsidR="000842A1" w:rsidRDefault="000842A1" w:rsidP="000842A1">
            <w:pPr>
              <w:jc w:val="both"/>
            </w:pPr>
            <w:r>
              <w:t>2. Предназначена для возраста от 5- 8 лет</w:t>
            </w:r>
          </w:p>
          <w:p w:rsidR="000842A1" w:rsidRDefault="000842A1" w:rsidP="000842A1">
            <w:pPr>
              <w:jc w:val="both"/>
            </w:pPr>
            <w:r>
              <w:t>Ширина сидения: не менее 30 см</w:t>
            </w:r>
            <w:r w:rsidR="004F0BAB">
              <w:t>,</w:t>
            </w:r>
            <w:r>
              <w:t xml:space="preserve"> </w:t>
            </w:r>
            <w:r w:rsidR="004F0BAB">
              <w:t>н</w:t>
            </w:r>
            <w:r>
              <w:t xml:space="preserve">о не более 40 см  </w:t>
            </w:r>
          </w:p>
          <w:p w:rsidR="000842A1" w:rsidRDefault="000842A1" w:rsidP="000842A1">
            <w:pPr>
              <w:jc w:val="both"/>
            </w:pPr>
            <w:r>
              <w:t>Глубина сидения: не менее 25 см</w:t>
            </w:r>
            <w:r w:rsidR="004F0BAB">
              <w:t>,</w:t>
            </w:r>
            <w:r>
              <w:t xml:space="preserve"> </w:t>
            </w:r>
            <w:r w:rsidR="004F0BAB">
              <w:t>н</w:t>
            </w:r>
            <w:r>
              <w:t xml:space="preserve">о не более 30 см  </w:t>
            </w:r>
          </w:p>
          <w:p w:rsidR="000842A1" w:rsidRDefault="000842A1" w:rsidP="000842A1">
            <w:pPr>
              <w:jc w:val="both"/>
            </w:pPr>
            <w:r>
              <w:t>Высота спинки: не менее 50 см</w:t>
            </w:r>
            <w:r w:rsidR="004F0BAB">
              <w:t>,</w:t>
            </w:r>
            <w:r>
              <w:t xml:space="preserve"> </w:t>
            </w:r>
            <w:r w:rsidR="004F0BAB">
              <w:t>н</w:t>
            </w:r>
            <w:r>
              <w:t>о не более 60 см  Грузоподъемность: не менее 70 кг</w:t>
            </w:r>
          </w:p>
          <w:p w:rsidR="000842A1" w:rsidRDefault="000842A1" w:rsidP="000842A1">
            <w:pPr>
              <w:jc w:val="both"/>
            </w:pPr>
            <w:r>
              <w:t>3. Предназначена для возраста от 8- 18 лет</w:t>
            </w:r>
          </w:p>
          <w:p w:rsidR="000842A1" w:rsidRDefault="000842A1" w:rsidP="000842A1">
            <w:pPr>
              <w:jc w:val="both"/>
            </w:pPr>
            <w:r>
              <w:t>Ширина сидения: не менее 35 см</w:t>
            </w:r>
            <w:r w:rsidR="004F0BAB">
              <w:t>,</w:t>
            </w:r>
            <w:r>
              <w:t xml:space="preserve"> </w:t>
            </w:r>
            <w:r w:rsidR="004F0BAB">
              <w:t>н</w:t>
            </w:r>
            <w:r>
              <w:t xml:space="preserve">о не более 45 см  </w:t>
            </w:r>
          </w:p>
          <w:p w:rsidR="000842A1" w:rsidRDefault="000842A1" w:rsidP="000842A1">
            <w:pPr>
              <w:jc w:val="both"/>
            </w:pPr>
            <w:r>
              <w:t>Глубина сидения: не менее 30 см</w:t>
            </w:r>
            <w:r w:rsidR="004F0BAB">
              <w:t>,</w:t>
            </w:r>
            <w:r>
              <w:t xml:space="preserve"> </w:t>
            </w:r>
            <w:r w:rsidR="004F0BAB">
              <w:t>н</w:t>
            </w:r>
            <w:r>
              <w:t xml:space="preserve">о </w:t>
            </w:r>
            <w:r>
              <w:lastRenderedPageBreak/>
              <w:t xml:space="preserve">не более 40 см  </w:t>
            </w:r>
          </w:p>
          <w:p w:rsidR="000842A1" w:rsidRPr="00E0156F" w:rsidRDefault="000842A1" w:rsidP="004F0BAB">
            <w:pPr>
              <w:jc w:val="both"/>
            </w:pPr>
            <w:r>
              <w:t>Высота спинки: не менее 60 см</w:t>
            </w:r>
            <w:r w:rsidR="004F0BAB">
              <w:t>,</w:t>
            </w:r>
            <w:r>
              <w:t xml:space="preserve"> </w:t>
            </w:r>
            <w:r w:rsidR="004F0BAB">
              <w:t>н</w:t>
            </w:r>
            <w:r>
              <w:t>о не более 70 см  Грузоподъемность: не менее 70 кг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</w:tcMar>
          </w:tcPr>
          <w:p w:rsidR="000842A1" w:rsidRPr="00E0156F" w:rsidRDefault="000842A1" w:rsidP="00C11373">
            <w:pPr>
              <w:jc w:val="both"/>
            </w:pPr>
          </w:p>
          <w:p w:rsidR="000842A1" w:rsidRPr="00E0156F" w:rsidRDefault="000842A1" w:rsidP="00C11373">
            <w:pPr>
              <w:jc w:val="both"/>
            </w:pPr>
          </w:p>
          <w:p w:rsidR="000842A1" w:rsidRPr="00E0156F" w:rsidRDefault="000842A1" w:rsidP="00C11373">
            <w:pPr>
              <w:jc w:val="both"/>
            </w:pPr>
          </w:p>
          <w:p w:rsidR="000842A1" w:rsidRPr="00E0156F" w:rsidRDefault="000842A1" w:rsidP="00C11373">
            <w:pPr>
              <w:jc w:val="both"/>
            </w:pPr>
          </w:p>
          <w:p w:rsidR="000842A1" w:rsidRPr="00E0156F" w:rsidRDefault="000842A1" w:rsidP="00C11373">
            <w:pPr>
              <w:jc w:val="both"/>
            </w:pPr>
          </w:p>
          <w:p w:rsidR="000842A1" w:rsidRPr="00E0156F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0842A1" w:rsidRDefault="000842A1" w:rsidP="00C11373">
            <w:pPr>
              <w:jc w:val="both"/>
              <w:rPr>
                <w:lang w:val="en-US"/>
              </w:rPr>
            </w:pPr>
          </w:p>
          <w:p w:rsidR="000842A1" w:rsidRDefault="000842A1" w:rsidP="00C11373">
            <w:pPr>
              <w:jc w:val="both"/>
              <w:rPr>
                <w:lang w:val="en-US"/>
              </w:rPr>
            </w:pPr>
          </w:p>
          <w:p w:rsidR="000842A1" w:rsidRDefault="000842A1" w:rsidP="00C11373">
            <w:pPr>
              <w:jc w:val="both"/>
              <w:rPr>
                <w:lang w:val="en-US"/>
              </w:rPr>
            </w:pPr>
          </w:p>
          <w:p w:rsidR="000842A1" w:rsidRDefault="000842A1" w:rsidP="00C11373">
            <w:pPr>
              <w:jc w:val="both"/>
              <w:rPr>
                <w:lang w:val="en-US"/>
              </w:rPr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</w:pPr>
          </w:p>
          <w:p w:rsidR="000842A1" w:rsidRDefault="000842A1" w:rsidP="00C113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0842A1" w:rsidRDefault="000842A1" w:rsidP="00C11373">
            <w:pPr>
              <w:jc w:val="both"/>
              <w:rPr>
                <w:lang w:val="en-US"/>
              </w:rPr>
            </w:pPr>
          </w:p>
          <w:p w:rsidR="000842A1" w:rsidRDefault="000842A1" w:rsidP="00C11373">
            <w:pPr>
              <w:jc w:val="both"/>
              <w:rPr>
                <w:lang w:val="en-US"/>
              </w:rPr>
            </w:pPr>
          </w:p>
          <w:p w:rsidR="000842A1" w:rsidRDefault="000842A1" w:rsidP="00C11373">
            <w:pPr>
              <w:jc w:val="both"/>
              <w:rPr>
                <w:lang w:val="en-US"/>
              </w:rPr>
            </w:pPr>
          </w:p>
          <w:p w:rsidR="000842A1" w:rsidRDefault="000842A1" w:rsidP="00C11373">
            <w:pPr>
              <w:jc w:val="both"/>
              <w:rPr>
                <w:lang w:val="en-US"/>
              </w:rPr>
            </w:pPr>
          </w:p>
          <w:p w:rsidR="000842A1" w:rsidRDefault="000842A1" w:rsidP="0042552A">
            <w:pPr>
              <w:jc w:val="both"/>
            </w:pPr>
          </w:p>
          <w:p w:rsidR="000842A1" w:rsidRDefault="000842A1" w:rsidP="0042552A">
            <w:pPr>
              <w:jc w:val="both"/>
            </w:pPr>
          </w:p>
          <w:p w:rsidR="000842A1" w:rsidRDefault="000842A1" w:rsidP="0042552A">
            <w:pPr>
              <w:jc w:val="both"/>
            </w:pPr>
          </w:p>
          <w:p w:rsidR="000842A1" w:rsidRDefault="000842A1" w:rsidP="0042552A">
            <w:pPr>
              <w:jc w:val="both"/>
            </w:pPr>
          </w:p>
          <w:p w:rsidR="000842A1" w:rsidRDefault="000842A1" w:rsidP="0042552A">
            <w:pPr>
              <w:jc w:val="both"/>
            </w:pPr>
          </w:p>
          <w:p w:rsidR="000842A1" w:rsidRDefault="000842A1" w:rsidP="0042552A">
            <w:pPr>
              <w:jc w:val="both"/>
            </w:pPr>
          </w:p>
          <w:p w:rsidR="000842A1" w:rsidRDefault="000842A1" w:rsidP="0042552A">
            <w:pPr>
              <w:jc w:val="both"/>
            </w:pPr>
          </w:p>
          <w:p w:rsidR="000842A1" w:rsidRDefault="000842A1" w:rsidP="0042552A">
            <w:pPr>
              <w:jc w:val="both"/>
            </w:pPr>
          </w:p>
          <w:p w:rsidR="000842A1" w:rsidRDefault="000842A1" w:rsidP="0042552A">
            <w:pPr>
              <w:jc w:val="both"/>
            </w:pPr>
          </w:p>
          <w:p w:rsidR="000842A1" w:rsidRPr="00F265C5" w:rsidRDefault="000842A1" w:rsidP="004255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842A1" w:rsidRPr="00C11373" w:rsidTr="000842A1">
        <w:trPr>
          <w:trHeight w:val="461"/>
        </w:trPr>
        <w:tc>
          <w:tcPr>
            <w:tcW w:w="1012" w:type="dxa"/>
            <w:tcBorders>
              <w:left w:val="single" w:sz="4" w:space="0" w:color="000000"/>
              <w:right w:val="nil"/>
            </w:tcBorders>
          </w:tcPr>
          <w:p w:rsidR="000842A1" w:rsidRDefault="000842A1">
            <w:pPr>
              <w:keepNext/>
              <w:keepLines/>
              <w:spacing w:line="256" w:lineRule="auto"/>
              <w:jc w:val="center"/>
            </w:pPr>
            <w:r>
              <w:lastRenderedPageBreak/>
              <w:t>4</w:t>
            </w:r>
          </w:p>
        </w:tc>
        <w:tc>
          <w:tcPr>
            <w:tcW w:w="1673" w:type="dxa"/>
            <w:tcBorders>
              <w:left w:val="single" w:sz="4" w:space="0" w:color="000000"/>
              <w:right w:val="nil"/>
            </w:tcBorders>
          </w:tcPr>
          <w:p w:rsidR="000842A1" w:rsidRDefault="000842A1">
            <w:pPr>
              <w:keepNext/>
              <w:keepLines/>
              <w:spacing w:line="256" w:lineRule="auto"/>
              <w:jc w:val="center"/>
            </w:pPr>
            <w:r w:rsidRPr="000842A1">
              <w:t>Приспособления ортопедические прочие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0842A1" w:rsidRDefault="000842A1">
            <w:pPr>
              <w:keepNext/>
              <w:keepLines/>
              <w:spacing w:line="256" w:lineRule="auto"/>
              <w:jc w:val="center"/>
            </w:pPr>
            <w:r>
              <w:t>Опора для лежания для детей-инвалидов</w:t>
            </w:r>
          </w:p>
          <w:p w:rsidR="000842A1" w:rsidRDefault="000842A1">
            <w:pPr>
              <w:spacing w:line="256" w:lineRule="auto"/>
              <w:jc w:val="both"/>
            </w:pPr>
          </w:p>
        </w:tc>
        <w:tc>
          <w:tcPr>
            <w:tcW w:w="3147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0842A1" w:rsidRDefault="000842A1">
            <w:pPr>
              <w:spacing w:line="256" w:lineRule="auto"/>
              <w:jc w:val="both"/>
            </w:pPr>
            <w:r>
              <w:t>Опора для лежания является средством подготовки ребенка к обучению переворачиваться самостоятельно в разные стороны, используется в процессе реабилитации детей с ДЦП, является одной из ступеней в приобретении первичных двигательных навыков и познавательных, тактильных ощущений.</w:t>
            </w:r>
            <w:r>
              <w:tab/>
            </w:r>
          </w:p>
          <w:p w:rsidR="000842A1" w:rsidRPr="00CD2EF4" w:rsidRDefault="000842A1">
            <w:pPr>
              <w:spacing w:line="256" w:lineRule="auto"/>
              <w:jc w:val="both"/>
            </w:pPr>
            <w:r>
              <w:t xml:space="preserve">Опора для лежания должна соответствовать следующим требованиям: </w:t>
            </w:r>
          </w:p>
          <w:p w:rsidR="000842A1" w:rsidRDefault="000842A1">
            <w:pPr>
              <w:spacing w:line="256" w:lineRule="auto"/>
              <w:jc w:val="both"/>
            </w:pPr>
            <w:r>
              <w:t>Наличие:</w:t>
            </w:r>
          </w:p>
          <w:p w:rsidR="000842A1" w:rsidRDefault="000842A1">
            <w:pPr>
              <w:spacing w:line="256" w:lineRule="auto"/>
              <w:jc w:val="both"/>
            </w:pPr>
            <w:r>
              <w:t>- крепежные ремни;</w:t>
            </w:r>
          </w:p>
          <w:p w:rsidR="000842A1" w:rsidRDefault="000842A1">
            <w:pPr>
              <w:spacing w:line="256" w:lineRule="auto"/>
              <w:jc w:val="both"/>
            </w:pPr>
            <w:r>
              <w:t>- абдукционные модули;</w:t>
            </w:r>
          </w:p>
          <w:p w:rsidR="000842A1" w:rsidRDefault="000842A1">
            <w:pPr>
              <w:spacing w:line="256" w:lineRule="auto"/>
              <w:jc w:val="both"/>
            </w:pPr>
            <w:r>
              <w:t>- наклонная подушка</w:t>
            </w:r>
          </w:p>
          <w:p w:rsidR="000842A1" w:rsidRDefault="000842A1" w:rsidP="00CD2EF4">
            <w:pPr>
              <w:spacing w:line="256" w:lineRule="auto"/>
            </w:pPr>
            <w:r>
              <w:t>- регулируемый угол наклона спинки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0842A1" w:rsidRPr="004F0BAB" w:rsidRDefault="000842A1" w:rsidP="004F0BAB">
            <w:pPr>
              <w:jc w:val="both"/>
            </w:pPr>
            <w:r>
              <w:t>Длина основания: не менее 85см</w:t>
            </w:r>
            <w:r w:rsidR="004F0BAB">
              <w:t>,</w:t>
            </w:r>
            <w:r>
              <w:t xml:space="preserve"> </w:t>
            </w:r>
            <w:r w:rsidR="004F0BAB">
              <w:t>н</w:t>
            </w:r>
            <w:r>
              <w:t>о не более 150 см.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</w:tcMar>
          </w:tcPr>
          <w:p w:rsidR="000842A1" w:rsidRPr="00B401DE" w:rsidRDefault="000842A1" w:rsidP="00C113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0842A1" w:rsidRPr="00C11373" w:rsidTr="000842A1">
        <w:trPr>
          <w:trHeight w:val="228"/>
        </w:trPr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0842A1" w:rsidRPr="00C11373" w:rsidRDefault="000842A1" w:rsidP="00CD2EF4">
            <w:pPr>
              <w:jc w:val="both"/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</w:tcPr>
          <w:p w:rsidR="000842A1" w:rsidRPr="00C11373" w:rsidRDefault="000842A1" w:rsidP="00CD2EF4">
            <w:pPr>
              <w:jc w:val="both"/>
            </w:pP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</w:tcPr>
          <w:p w:rsidR="000842A1" w:rsidRPr="00C11373" w:rsidRDefault="000842A1" w:rsidP="00CD2EF4">
            <w:pPr>
              <w:jc w:val="both"/>
            </w:pPr>
          </w:p>
        </w:tc>
        <w:tc>
          <w:tcPr>
            <w:tcW w:w="5579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</w:tcMar>
          </w:tcPr>
          <w:p w:rsidR="000842A1" w:rsidRPr="00C11373" w:rsidRDefault="000842A1" w:rsidP="00CD2EF4">
            <w:pPr>
              <w:jc w:val="both"/>
              <w:rPr>
                <w:lang w:val="en-US"/>
              </w:rPr>
            </w:pPr>
            <w:r w:rsidRPr="00C11373">
              <w:t xml:space="preserve">Итого:                                                                                                                                                             </w:t>
            </w:r>
          </w:p>
        </w:tc>
      </w:tr>
    </w:tbl>
    <w:p w:rsidR="00BD032C" w:rsidRPr="00F528AC" w:rsidRDefault="00BD032C" w:rsidP="009F3215">
      <w:pPr>
        <w:jc w:val="both"/>
      </w:pPr>
    </w:p>
    <w:p w:rsidR="00D20A15" w:rsidRPr="00B747E0" w:rsidRDefault="00D20A15" w:rsidP="00E36517">
      <w:pPr>
        <w:ind w:firstLine="708"/>
        <w:jc w:val="both"/>
      </w:pPr>
      <w:r w:rsidRPr="00D20A15">
        <w:t>Гарантийный срок эксплуатации 12 месяцев с даты выдачи товара получателю и подписания поставщиком и получателем акта поставки товара.</w:t>
      </w:r>
    </w:p>
    <w:p w:rsidR="00BD032C" w:rsidRPr="00F528AC" w:rsidRDefault="00022290" w:rsidP="00E36517">
      <w:pPr>
        <w:ind w:firstLine="708"/>
        <w:jc w:val="both"/>
      </w:pPr>
      <w:r w:rsidRPr="00022290">
        <w:t>Срок пользования товаром</w:t>
      </w:r>
      <w:r w:rsidR="00B747E0" w:rsidRPr="00B747E0">
        <w:t xml:space="preserve"> </w:t>
      </w:r>
      <w:r w:rsidR="00B747E0">
        <w:t>–</w:t>
      </w:r>
      <w:r w:rsidR="00B747E0" w:rsidRPr="00B747E0">
        <w:t xml:space="preserve"> 2 </w:t>
      </w:r>
      <w:r w:rsidR="00B747E0">
        <w:t>года,</w:t>
      </w:r>
      <w:r w:rsidRPr="00022290">
        <w:t xml:space="preserve"> устанавливается в соответствии с Приказом Минтруда России от 13.02.2018 г.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BD032C" w:rsidRPr="00F528AC" w:rsidRDefault="00BD032C" w:rsidP="00E36517">
      <w:pPr>
        <w:ind w:firstLine="708"/>
        <w:jc w:val="both"/>
      </w:pPr>
      <w:r w:rsidRPr="00F528AC"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действующие регистрационные удостоверения.</w:t>
      </w:r>
    </w:p>
    <w:p w:rsidR="00BD032C" w:rsidRPr="00F528AC" w:rsidRDefault="00BD032C" w:rsidP="00E36517">
      <w:pPr>
        <w:ind w:firstLine="709"/>
        <w:jc w:val="both"/>
      </w:pPr>
      <w:r w:rsidRPr="00F528AC"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ГОСТ ISO 10993-1-2011 «Изделия медицинские. Оценка биологического действия медицинских изделий. Часть 1. Оценка и исследования»,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Исследования раздражающего </w:t>
      </w:r>
      <w:r w:rsidR="00D94751">
        <w:t>и сенсибилизирующего действия»,</w:t>
      </w:r>
      <w:r w:rsidR="00D94751" w:rsidRPr="00D94751">
        <w:t xml:space="preserve"> </w:t>
      </w:r>
      <w:r w:rsidRPr="00F528AC">
        <w:t>ГОСТ Р 51632-2014 «Технические средства реабилитации людей с ограничениями жизнедеятельности. Общие технические требования и методы испытаний»</w:t>
      </w:r>
    </w:p>
    <w:p w:rsidR="00BD032C" w:rsidRPr="00F528AC" w:rsidRDefault="00BD032C" w:rsidP="009F3215">
      <w:pPr>
        <w:jc w:val="both"/>
      </w:pPr>
      <w:r w:rsidRPr="00F528AC">
        <w:t>Товар не должен выделять при эксплуатации токсичных и агрессивных веществ.</w:t>
      </w:r>
    </w:p>
    <w:p w:rsidR="00BD032C" w:rsidRPr="00F528AC" w:rsidRDefault="00BD032C" w:rsidP="00E36517">
      <w:pPr>
        <w:ind w:firstLine="708"/>
        <w:jc w:val="both"/>
      </w:pPr>
      <w:r w:rsidRPr="00F528AC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BD032C" w:rsidRPr="00F528AC" w:rsidRDefault="00BD032C" w:rsidP="00E36517">
      <w:pPr>
        <w:ind w:firstLine="708"/>
        <w:jc w:val="both"/>
      </w:pPr>
      <w:r w:rsidRPr="00F528AC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BD032C" w:rsidRPr="00F528AC" w:rsidRDefault="00BD032C" w:rsidP="009F3215">
      <w:pPr>
        <w:jc w:val="both"/>
      </w:pPr>
      <w:r w:rsidRPr="00F528AC">
        <w:t>-безопасность для кожных покровов;</w:t>
      </w:r>
    </w:p>
    <w:p w:rsidR="00BD032C" w:rsidRPr="00F528AC" w:rsidRDefault="00BD032C" w:rsidP="009F3215">
      <w:pPr>
        <w:jc w:val="both"/>
      </w:pPr>
      <w:r w:rsidRPr="00F528AC">
        <w:t>-эстетичность;</w:t>
      </w:r>
    </w:p>
    <w:p w:rsidR="00BD032C" w:rsidRPr="00F528AC" w:rsidRDefault="00BD032C" w:rsidP="009F3215">
      <w:pPr>
        <w:jc w:val="both"/>
      </w:pPr>
      <w:r w:rsidRPr="00F528AC">
        <w:t>-незаметность, комфортность;</w:t>
      </w:r>
    </w:p>
    <w:p w:rsidR="00BD032C" w:rsidRPr="00F528AC" w:rsidRDefault="00BD032C" w:rsidP="009F3215">
      <w:pPr>
        <w:jc w:val="both"/>
      </w:pPr>
      <w:r w:rsidRPr="00F528AC">
        <w:t>-простота пользования.</w:t>
      </w:r>
    </w:p>
    <w:p w:rsidR="00BD032C" w:rsidRPr="00F528AC" w:rsidRDefault="00BD032C" w:rsidP="00E36517">
      <w:pPr>
        <w:ind w:firstLine="708"/>
        <w:jc w:val="both"/>
      </w:pPr>
      <w:r w:rsidRPr="00F528AC">
        <w:t xml:space="preserve">Сырье и материалы, применяемые для изготовления товара, не должны содержать ядовитых (токсичных) компонентов, а также воздействовать на поверхности, с которым контактируют при их </w:t>
      </w:r>
      <w:r w:rsidRPr="00F528AC">
        <w:lastRenderedPageBreak/>
        <w:t>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BD032C" w:rsidRPr="00F528AC" w:rsidRDefault="00BD032C" w:rsidP="009F3215">
      <w:pPr>
        <w:jc w:val="both"/>
      </w:pPr>
      <w:r w:rsidRPr="00F528AC">
        <w:t>Обязательно наличие гарантийных талонов на сервисное обслуживание, дающих право на бесплатный ремонт товара во время гарантийного срока пользования.</w:t>
      </w:r>
    </w:p>
    <w:p w:rsidR="00BD032C" w:rsidRPr="00F528AC" w:rsidRDefault="00BD032C" w:rsidP="009F3215">
      <w:pPr>
        <w:jc w:val="both"/>
      </w:pPr>
      <w:r w:rsidRPr="00F528AC"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 Обеспечение возможности ремонта в соответствии с Федеральным законом от 07.02.1992 г. № 2300-1 «О защите прав потребителей».</w:t>
      </w:r>
    </w:p>
    <w:p w:rsidR="00BD032C" w:rsidRPr="00F528AC" w:rsidRDefault="00BD032C" w:rsidP="00E36517">
      <w:pPr>
        <w:ind w:firstLine="708"/>
        <w:jc w:val="both"/>
      </w:pPr>
      <w:r w:rsidRPr="00F528AC">
        <w:t>Срок гарантийного ремонта со дня обращения Получателя не должен превышать 20 (двадцати) рабочих дней.</w:t>
      </w:r>
    </w:p>
    <w:p w:rsidR="00BD032C" w:rsidRPr="00F528AC" w:rsidRDefault="00BD032C" w:rsidP="00E36517">
      <w:pPr>
        <w:ind w:firstLine="708"/>
        <w:jc w:val="both"/>
      </w:pPr>
      <w:r w:rsidRPr="00F528AC">
        <w:t>Товар должен быть уложен в индивидуальную упаковку. Упаковка товара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BD032C" w:rsidRPr="00F528AC" w:rsidRDefault="00BD032C" w:rsidP="00E36517">
      <w:pPr>
        <w:ind w:firstLine="708"/>
        <w:jc w:val="both"/>
      </w:pPr>
      <w:r w:rsidRPr="00F528AC">
        <w:t>Упаковка должна обеспечивать защиту от воздействия механических и климатических факторов во время транспортирования и хранения поручней.</w:t>
      </w:r>
    </w:p>
    <w:p w:rsidR="00BD032C" w:rsidRPr="00F528AC" w:rsidRDefault="00BD032C" w:rsidP="00E36517">
      <w:pPr>
        <w:ind w:firstLine="708"/>
        <w:jc w:val="both"/>
      </w:pPr>
      <w:r w:rsidRPr="00F528AC"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BD032C" w:rsidRPr="00F528AC" w:rsidRDefault="00BD032C" w:rsidP="00E36517">
      <w:pPr>
        <w:ind w:firstLine="708"/>
        <w:jc w:val="both"/>
      </w:pPr>
      <w:r w:rsidRPr="00F528AC">
        <w:t>Маркировка упаковки товара должна включать:</w:t>
      </w:r>
    </w:p>
    <w:p w:rsidR="00BD032C" w:rsidRPr="00F528AC" w:rsidRDefault="00BD032C" w:rsidP="009F3215">
      <w:pPr>
        <w:jc w:val="both"/>
      </w:pPr>
      <w:r w:rsidRPr="00F528AC">
        <w:t>- условное обозначение группы товара, товарную марку (при наличии), обозначение номера товара (при наличии);</w:t>
      </w:r>
    </w:p>
    <w:p w:rsidR="00BD032C" w:rsidRPr="00F528AC" w:rsidRDefault="00BD032C" w:rsidP="009F3215">
      <w:pPr>
        <w:jc w:val="both"/>
      </w:pPr>
      <w:r w:rsidRPr="00F528AC">
        <w:t xml:space="preserve">- страну-изготовителя; </w:t>
      </w:r>
    </w:p>
    <w:p w:rsidR="00BD032C" w:rsidRPr="00F528AC" w:rsidRDefault="00BD032C" w:rsidP="009F3215">
      <w:pPr>
        <w:jc w:val="both"/>
      </w:pPr>
      <w:r w:rsidRPr="00F528AC">
        <w:t>- наименование предприятия-изготовителя, юридический адрес, товарный знак (при наличии);</w:t>
      </w:r>
    </w:p>
    <w:p w:rsidR="00BD032C" w:rsidRPr="00F528AC" w:rsidRDefault="00BD032C" w:rsidP="009F3215">
      <w:pPr>
        <w:jc w:val="both"/>
      </w:pPr>
      <w:r w:rsidRPr="00F528AC">
        <w:t>- отличительные характеристики товара в соответствии с их техническим исполнением (при наличии);</w:t>
      </w:r>
    </w:p>
    <w:p w:rsidR="00BD032C" w:rsidRPr="00F528AC" w:rsidRDefault="00BD032C" w:rsidP="009F3215">
      <w:pPr>
        <w:jc w:val="both"/>
      </w:pPr>
      <w:r w:rsidRPr="00F528AC">
        <w:t>- номер артикула (при наличии);</w:t>
      </w:r>
    </w:p>
    <w:p w:rsidR="00BD032C" w:rsidRPr="00F528AC" w:rsidRDefault="00BD032C" w:rsidP="009F3215">
      <w:pPr>
        <w:jc w:val="both"/>
      </w:pPr>
      <w:r w:rsidRPr="00F528AC">
        <w:t>- количество товара в упаковке;</w:t>
      </w:r>
    </w:p>
    <w:p w:rsidR="00BD032C" w:rsidRPr="00F528AC" w:rsidRDefault="00BD032C" w:rsidP="009F3215">
      <w:pPr>
        <w:jc w:val="both"/>
      </w:pPr>
      <w:r w:rsidRPr="00F528AC">
        <w:t>- дату (месяц, год) изготовления;</w:t>
      </w:r>
    </w:p>
    <w:p w:rsidR="00BD032C" w:rsidRPr="00F528AC" w:rsidRDefault="00BD032C" w:rsidP="009F3215">
      <w:pPr>
        <w:jc w:val="both"/>
      </w:pPr>
      <w:r w:rsidRPr="00F528AC">
        <w:t>- гарантийный срок годности (при наличии);</w:t>
      </w:r>
    </w:p>
    <w:p w:rsidR="00BD032C" w:rsidRPr="00F528AC" w:rsidRDefault="00BD032C" w:rsidP="009F3215">
      <w:pPr>
        <w:jc w:val="both"/>
      </w:pPr>
      <w:r w:rsidRPr="00F528AC">
        <w:t>- правила использования (при необходимости);</w:t>
      </w:r>
    </w:p>
    <w:p w:rsidR="00BD032C" w:rsidRPr="00F528AC" w:rsidRDefault="00BD032C" w:rsidP="009F3215">
      <w:pPr>
        <w:jc w:val="both"/>
      </w:pPr>
      <w:r w:rsidRPr="00F528AC">
        <w:t>- штриховой код товара (при наличии);</w:t>
      </w:r>
    </w:p>
    <w:p w:rsidR="00BD032C" w:rsidRPr="00F528AC" w:rsidRDefault="00BD032C" w:rsidP="004B44DF">
      <w:pPr>
        <w:ind w:firstLine="708"/>
        <w:jc w:val="both"/>
      </w:pPr>
      <w:r w:rsidRPr="00F528AC"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0842A1" w:rsidRDefault="000842A1" w:rsidP="000842A1">
      <w:pPr>
        <w:ind w:firstLine="708"/>
        <w:jc w:val="both"/>
      </w:pPr>
      <w:r>
        <w:t>Место поставки товара:</w:t>
      </w:r>
    </w:p>
    <w:p w:rsidR="000842A1" w:rsidRDefault="000842A1" w:rsidP="000842A1">
      <w:pPr>
        <w:ind w:firstLine="708"/>
        <w:jc w:val="both"/>
      </w:pPr>
      <w:r>
        <w:t>Поставщик обязан предоставить Получателям, согласно реестру получателей Товара, право выбора одного из способов получения Товара:</w:t>
      </w:r>
    </w:p>
    <w:p w:rsidR="000842A1" w:rsidRDefault="000842A1" w:rsidP="000842A1">
      <w:pPr>
        <w:ind w:firstLine="708"/>
        <w:jc w:val="both"/>
      </w:pPr>
      <w:r>
        <w:t>- по месту жительства Получателя;</w:t>
      </w:r>
    </w:p>
    <w:p w:rsidR="00D92CDA" w:rsidRDefault="000842A1" w:rsidP="000842A1">
      <w:pPr>
        <w:ind w:firstLine="708"/>
        <w:jc w:val="both"/>
      </w:pPr>
      <w:r>
        <w:t>- в пунктах выдачи.</w:t>
      </w:r>
      <w:r w:rsidR="00D92CDA">
        <w:t>.</w:t>
      </w:r>
    </w:p>
    <w:p w:rsidR="00D92CDA" w:rsidRDefault="00D92CDA" w:rsidP="00D92CDA">
      <w:pPr>
        <w:ind w:firstLine="708"/>
        <w:jc w:val="both"/>
      </w:pPr>
      <w:r>
        <w:t xml:space="preserve"> В случае выбора Получателем способа получения Товара через пункт выдачи Товара:</w:t>
      </w:r>
    </w:p>
    <w:p w:rsidR="00D92CDA" w:rsidRDefault="00D92CDA" w:rsidP="00D92CDA">
      <w:pPr>
        <w:ind w:firstLine="708"/>
        <w:jc w:val="both"/>
      </w:pPr>
      <w:r>
        <w:t>- обеспечить передачу Товара Получателям в стационарных пунктах выдачи, организованных в соответствии с  приказом Министерства труда и социальной защиты Российской Федерации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соисполнителей;</w:t>
      </w:r>
    </w:p>
    <w:p w:rsidR="00D92CDA" w:rsidRDefault="00D92CDA" w:rsidP="00D92CDA">
      <w:pPr>
        <w:ind w:firstLine="708"/>
        <w:jc w:val="both"/>
      </w:pPr>
      <w:r>
        <w:t>- установить график работы пунктов выдачи Товара, включая работу в один из выходных дней.</w:t>
      </w:r>
    </w:p>
    <w:p w:rsidR="00D92CDA" w:rsidRDefault="00D92CDA" w:rsidP="00D92CDA">
      <w:pPr>
        <w:ind w:firstLine="708"/>
        <w:jc w:val="both"/>
      </w:pPr>
      <w:r>
        <w:t>Срок поставки товара до Получателя:</w:t>
      </w:r>
    </w:p>
    <w:p w:rsidR="00D92CDA" w:rsidRDefault="00D92CDA" w:rsidP="00D92CDA">
      <w:pPr>
        <w:ind w:firstLine="708"/>
        <w:jc w:val="both"/>
      </w:pPr>
      <w:r>
        <w:t>Поставка Товара Получателям осуществляется Поставщиком после получения от Заказчика реестра получателей Товара.</w:t>
      </w:r>
    </w:p>
    <w:p w:rsidR="00D92CDA" w:rsidRDefault="00D92CDA" w:rsidP="00D92CDA">
      <w:pPr>
        <w:ind w:firstLine="708"/>
        <w:jc w:val="both"/>
      </w:pPr>
      <w:r>
        <w:t>Поставка товара Получателям не должна</w:t>
      </w:r>
      <w:r w:rsidR="000842A1">
        <w:t xml:space="preserve"> превышать 30 календарных дней </w:t>
      </w:r>
      <w:r>
        <w:t>со дня получения Поставщиком реестра получателей Товара.</w:t>
      </w:r>
    </w:p>
    <w:p w:rsidR="005329E2" w:rsidRPr="00EE57BB" w:rsidRDefault="00D92CDA" w:rsidP="00D92CDA">
      <w:pPr>
        <w:ind w:firstLine="708"/>
        <w:jc w:val="both"/>
        <w:rPr>
          <w:sz w:val="24"/>
          <w:szCs w:val="24"/>
        </w:rPr>
      </w:pPr>
      <w:r>
        <w:t>Поставщик должен гарантировать, что товар передается свободным от прав третьих лиц и не является предметом залога, ареста или иного обременения.</w:t>
      </w:r>
    </w:p>
    <w:p w:rsidR="005329E2" w:rsidRPr="00D20A15" w:rsidRDefault="005329E2" w:rsidP="00D20A15">
      <w:pPr>
        <w:ind w:firstLine="708"/>
        <w:jc w:val="both"/>
      </w:pPr>
    </w:p>
    <w:sectPr w:rsidR="005329E2" w:rsidRPr="00D2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47" w:hanging="360"/>
      </w:pPr>
      <w:rPr>
        <w:rFonts w:cs="Times New Roman"/>
        <w:b w:val="0"/>
      </w:rPr>
    </w:lvl>
  </w:abstractNum>
  <w:abstractNum w:abstractNumId="1">
    <w:nsid w:val="6A80040A"/>
    <w:multiLevelType w:val="multilevel"/>
    <w:tmpl w:val="374CEDC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2C"/>
    <w:rsid w:val="00022290"/>
    <w:rsid w:val="00036FAD"/>
    <w:rsid w:val="000501F8"/>
    <w:rsid w:val="000519BC"/>
    <w:rsid w:val="000842A1"/>
    <w:rsid w:val="00187E5E"/>
    <w:rsid w:val="001D08B2"/>
    <w:rsid w:val="0027154F"/>
    <w:rsid w:val="00281D63"/>
    <w:rsid w:val="00365E7E"/>
    <w:rsid w:val="003F22F8"/>
    <w:rsid w:val="0042552A"/>
    <w:rsid w:val="00465F94"/>
    <w:rsid w:val="004A276A"/>
    <w:rsid w:val="004B44DF"/>
    <w:rsid w:val="004C39CD"/>
    <w:rsid w:val="004F0BAB"/>
    <w:rsid w:val="005329E2"/>
    <w:rsid w:val="00553507"/>
    <w:rsid w:val="006614F0"/>
    <w:rsid w:val="0070615A"/>
    <w:rsid w:val="00711BEE"/>
    <w:rsid w:val="00724170"/>
    <w:rsid w:val="007241EB"/>
    <w:rsid w:val="007554FD"/>
    <w:rsid w:val="007B2959"/>
    <w:rsid w:val="007D3BD5"/>
    <w:rsid w:val="008551C1"/>
    <w:rsid w:val="009F3215"/>
    <w:rsid w:val="009F6E32"/>
    <w:rsid w:val="00A34802"/>
    <w:rsid w:val="00A84013"/>
    <w:rsid w:val="00B3151D"/>
    <w:rsid w:val="00B350BA"/>
    <w:rsid w:val="00B355E6"/>
    <w:rsid w:val="00B401DE"/>
    <w:rsid w:val="00B747E0"/>
    <w:rsid w:val="00B751BA"/>
    <w:rsid w:val="00BD032C"/>
    <w:rsid w:val="00C11373"/>
    <w:rsid w:val="00C33960"/>
    <w:rsid w:val="00CC2364"/>
    <w:rsid w:val="00CD2EF4"/>
    <w:rsid w:val="00CF740E"/>
    <w:rsid w:val="00D20A15"/>
    <w:rsid w:val="00D92CDA"/>
    <w:rsid w:val="00D94751"/>
    <w:rsid w:val="00DE067A"/>
    <w:rsid w:val="00E0156F"/>
    <w:rsid w:val="00E36517"/>
    <w:rsid w:val="00EB0F4A"/>
    <w:rsid w:val="00EE57BB"/>
    <w:rsid w:val="00F265C5"/>
    <w:rsid w:val="00F43D99"/>
    <w:rsid w:val="00F528AC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03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4">
    <w:name w:val="Основной текст 24"/>
    <w:basedOn w:val="a0"/>
    <w:rsid w:val="00BD032C"/>
    <w:pPr>
      <w:jc w:val="both"/>
    </w:pPr>
    <w:rPr>
      <w:sz w:val="26"/>
      <w:szCs w:val="28"/>
    </w:rPr>
  </w:style>
  <w:style w:type="paragraph" w:styleId="a4">
    <w:name w:val="Title"/>
    <w:basedOn w:val="a0"/>
    <w:next w:val="a5"/>
    <w:link w:val="a6"/>
    <w:qFormat/>
    <w:rsid w:val="00BD032C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1"/>
    <w:link w:val="a4"/>
    <w:rsid w:val="00BD032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iceouttxt5">
    <w:name w:val="iceouttxt5"/>
    <w:rsid w:val="00BD032C"/>
    <w:rPr>
      <w:rFonts w:ascii="Arial" w:hAnsi="Arial" w:cs="Arial" w:hint="default"/>
      <w:color w:val="666666"/>
      <w:sz w:val="17"/>
      <w:szCs w:val="17"/>
    </w:rPr>
  </w:style>
  <w:style w:type="paragraph" w:styleId="a5">
    <w:name w:val="Subtitle"/>
    <w:basedOn w:val="a0"/>
    <w:next w:val="a0"/>
    <w:link w:val="a7"/>
    <w:uiPriority w:val="11"/>
    <w:qFormat/>
    <w:rsid w:val="00BD03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BD032C"/>
    <w:rPr>
      <w:rFonts w:eastAsiaTheme="minorEastAsia"/>
      <w:color w:val="5A5A5A" w:themeColor="text1" w:themeTint="A5"/>
      <w:spacing w:val="15"/>
      <w:lang w:eastAsia="ar-SA"/>
    </w:rPr>
  </w:style>
  <w:style w:type="paragraph" w:styleId="a8">
    <w:name w:val="List Paragraph"/>
    <w:basedOn w:val="a0"/>
    <w:qFormat/>
    <w:rsid w:val="004A27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Normal (Web)"/>
    <w:basedOn w:val="a0"/>
    <w:rsid w:val="00036FAD"/>
    <w:pPr>
      <w:numPr>
        <w:numId w:val="2"/>
      </w:numPr>
      <w:spacing w:before="280" w:after="280"/>
      <w:jc w:val="both"/>
    </w:pPr>
    <w:rPr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5535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53507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No Spacing"/>
    <w:uiPriority w:val="1"/>
    <w:qFormat/>
    <w:rsid w:val="00D92C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03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4">
    <w:name w:val="Основной текст 24"/>
    <w:basedOn w:val="a0"/>
    <w:rsid w:val="00BD032C"/>
    <w:pPr>
      <w:jc w:val="both"/>
    </w:pPr>
    <w:rPr>
      <w:sz w:val="26"/>
      <w:szCs w:val="28"/>
    </w:rPr>
  </w:style>
  <w:style w:type="paragraph" w:styleId="a4">
    <w:name w:val="Title"/>
    <w:basedOn w:val="a0"/>
    <w:next w:val="a5"/>
    <w:link w:val="a6"/>
    <w:qFormat/>
    <w:rsid w:val="00BD032C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1"/>
    <w:link w:val="a4"/>
    <w:rsid w:val="00BD032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iceouttxt5">
    <w:name w:val="iceouttxt5"/>
    <w:rsid w:val="00BD032C"/>
    <w:rPr>
      <w:rFonts w:ascii="Arial" w:hAnsi="Arial" w:cs="Arial" w:hint="default"/>
      <w:color w:val="666666"/>
      <w:sz w:val="17"/>
      <w:szCs w:val="17"/>
    </w:rPr>
  </w:style>
  <w:style w:type="paragraph" w:styleId="a5">
    <w:name w:val="Subtitle"/>
    <w:basedOn w:val="a0"/>
    <w:next w:val="a0"/>
    <w:link w:val="a7"/>
    <w:uiPriority w:val="11"/>
    <w:qFormat/>
    <w:rsid w:val="00BD03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BD032C"/>
    <w:rPr>
      <w:rFonts w:eastAsiaTheme="minorEastAsia"/>
      <w:color w:val="5A5A5A" w:themeColor="text1" w:themeTint="A5"/>
      <w:spacing w:val="15"/>
      <w:lang w:eastAsia="ar-SA"/>
    </w:rPr>
  </w:style>
  <w:style w:type="paragraph" w:styleId="a8">
    <w:name w:val="List Paragraph"/>
    <w:basedOn w:val="a0"/>
    <w:qFormat/>
    <w:rsid w:val="004A27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Normal (Web)"/>
    <w:basedOn w:val="a0"/>
    <w:rsid w:val="00036FAD"/>
    <w:pPr>
      <w:numPr>
        <w:numId w:val="2"/>
      </w:numPr>
      <w:spacing w:before="280" w:after="280"/>
      <w:jc w:val="both"/>
    </w:pPr>
    <w:rPr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5535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53507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No Spacing"/>
    <w:uiPriority w:val="1"/>
    <w:qFormat/>
    <w:rsid w:val="00D92C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9258-64B0-4454-A442-6B015868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А.С.</dc:creator>
  <cp:lastModifiedBy>Жвакина Татьяна Анатольевна</cp:lastModifiedBy>
  <cp:revision>2</cp:revision>
  <cp:lastPrinted>2017-07-20T13:16:00Z</cp:lastPrinted>
  <dcterms:created xsi:type="dcterms:W3CDTF">2019-12-10T12:52:00Z</dcterms:created>
  <dcterms:modified xsi:type="dcterms:W3CDTF">2019-12-10T12:52:00Z</dcterms:modified>
</cp:coreProperties>
</file>