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4" w:rsidRPr="008F6CE0" w:rsidRDefault="00A35954" w:rsidP="00A35954">
      <w:pPr>
        <w:jc w:val="center"/>
        <w:rPr>
          <w:rFonts w:eastAsia="Arial"/>
          <w:b/>
          <w:sz w:val="24"/>
          <w:szCs w:val="24"/>
        </w:rPr>
      </w:pPr>
      <w:r w:rsidRPr="008F6CE0">
        <w:rPr>
          <w:rFonts w:eastAsia="Arial"/>
          <w:b/>
          <w:sz w:val="24"/>
          <w:szCs w:val="24"/>
        </w:rPr>
        <w:t>ТЕХНИЧЕСКОЕ ЗАДАНИЕ</w:t>
      </w:r>
    </w:p>
    <w:p w:rsidR="00A35954" w:rsidRPr="008F6CE0" w:rsidRDefault="00A35954" w:rsidP="00A35954">
      <w:pPr>
        <w:rPr>
          <w:b/>
          <w:sz w:val="24"/>
          <w:szCs w:val="24"/>
        </w:rPr>
      </w:pPr>
    </w:p>
    <w:p w:rsidR="00BA0987" w:rsidRPr="00BA0987" w:rsidRDefault="00A35954" w:rsidP="008F6CE0">
      <w:pPr>
        <w:jc w:val="center"/>
        <w:rPr>
          <w:b/>
          <w:sz w:val="24"/>
          <w:szCs w:val="24"/>
        </w:rPr>
      </w:pPr>
      <w:r w:rsidRPr="008F6CE0">
        <w:rPr>
          <w:b/>
          <w:sz w:val="24"/>
          <w:szCs w:val="24"/>
        </w:rPr>
        <w:t xml:space="preserve">Наименование объекта закупки: </w:t>
      </w:r>
    </w:p>
    <w:p w:rsidR="00A35954" w:rsidRDefault="00A35954" w:rsidP="008F6CE0">
      <w:pPr>
        <w:jc w:val="center"/>
        <w:rPr>
          <w:b/>
          <w:sz w:val="24"/>
          <w:szCs w:val="24"/>
          <w:lang w:val="en-US"/>
        </w:rPr>
      </w:pPr>
      <w:r w:rsidRPr="008F6CE0">
        <w:rPr>
          <w:b/>
          <w:sz w:val="24"/>
          <w:szCs w:val="24"/>
        </w:rPr>
        <w:t xml:space="preserve">Поставка </w:t>
      </w:r>
      <w:proofErr w:type="spellStart"/>
      <w:r w:rsidR="008F6CE0" w:rsidRPr="008F6CE0">
        <w:rPr>
          <w:b/>
          <w:sz w:val="24"/>
          <w:szCs w:val="24"/>
        </w:rPr>
        <w:t>противопролежневых</w:t>
      </w:r>
      <w:proofErr w:type="spellEnd"/>
      <w:r w:rsidR="008F6CE0" w:rsidRPr="008F6CE0">
        <w:rPr>
          <w:b/>
          <w:sz w:val="24"/>
          <w:szCs w:val="24"/>
        </w:rPr>
        <w:t xml:space="preserve"> матрацев и подушек  </w:t>
      </w:r>
      <w:r w:rsidRPr="008F6CE0">
        <w:rPr>
          <w:b/>
          <w:sz w:val="24"/>
          <w:szCs w:val="24"/>
        </w:rPr>
        <w:t xml:space="preserve"> </w:t>
      </w:r>
    </w:p>
    <w:p w:rsidR="00A155AF" w:rsidRPr="00A155AF" w:rsidRDefault="00A155AF" w:rsidP="008F6CE0">
      <w:pPr>
        <w:jc w:val="center"/>
        <w:rPr>
          <w:b/>
          <w:sz w:val="24"/>
          <w:szCs w:val="24"/>
          <w:lang w:val="en-US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264"/>
        <w:gridCol w:w="2305"/>
        <w:gridCol w:w="2659"/>
        <w:gridCol w:w="1354"/>
        <w:gridCol w:w="616"/>
      </w:tblGrid>
      <w:tr w:rsidR="00A155AF" w:rsidTr="00A155AF">
        <w:trPr>
          <w:trHeight w:val="438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/>
              <w:jc w:val="center"/>
            </w:pPr>
            <w:proofErr w:type="gramStart"/>
            <w:r>
              <w:t>Наименование товара, работы, услуги по КТРУ (в соответствии с каталогом товаров, работ, услуг, формирующимся в ЕИС в сфере закупок</w:t>
            </w:r>
            <w:proofErr w:type="gram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center"/>
            </w:pPr>
            <w:r>
              <w:t>Показатели, позволяющие определить соответствие поставляемого товара установленным требованиям</w:t>
            </w:r>
          </w:p>
        </w:tc>
      </w:tr>
      <w:tr w:rsidR="00A155AF" w:rsidTr="00A155AF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F" w:rsidRDefault="00A1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F" w:rsidRDefault="00A15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F" w:rsidRDefault="00A155AF"/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pStyle w:val="a8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Показатели, которые не могут изменяться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pStyle w:val="a8"/>
              <w:snapToGrid w:val="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center"/>
            </w:pPr>
            <w:r>
              <w:t>Кол-во, шт.</w:t>
            </w:r>
          </w:p>
        </w:tc>
      </w:tr>
      <w:tr w:rsidR="00A155AF" w:rsidTr="00A155AF">
        <w:trPr>
          <w:trHeight w:val="919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156503">
            <w:pPr>
              <w:rPr>
                <w:sz w:val="22"/>
                <w:szCs w:val="22"/>
                <w:highlight w:val="yellow"/>
              </w:rPr>
            </w:pPr>
            <w:r w:rsidRPr="00156503">
              <w:rPr>
                <w:sz w:val="22"/>
                <w:szCs w:val="22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полиуретановый</w:t>
            </w:r>
          </w:p>
          <w:p w:rsidR="00A155AF" w:rsidRDefault="00A155AF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профилактики возникновения пролежней при длительном нахождении инвалида в положении лежа.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Матрац изготовлен из </w:t>
            </w:r>
            <w:proofErr w:type="spellStart"/>
            <w:r>
              <w:rPr>
                <w:sz w:val="22"/>
                <w:szCs w:val="22"/>
              </w:rPr>
              <w:t>пенополиуретана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съемный из водонепроницаемой ткани с замком;</w:t>
            </w:r>
          </w:p>
          <w:p w:rsidR="00A155AF" w:rsidRDefault="00A155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100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матраца: не менее 1800 х 800 х 70 мм, не более 2000 х 900 х 100 мм.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Матрас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гелевым</w:t>
            </w:r>
            <w:proofErr w:type="spellEnd"/>
            <w:r>
              <w:rPr>
                <w:sz w:val="22"/>
                <w:szCs w:val="22"/>
              </w:rPr>
              <w:t xml:space="preserve"> наполнителем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155AF" w:rsidRDefault="00A155AF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эффект достигается за счет перетекающих элементов, расположенных внутри матраца.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Наполнитель - гель. 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-съемный чехол из непромокаемой воздухопроницаемой ткани с замком типа «молния»;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110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изделия не менее 1900 х 800 х 70 мм, не более 2100 х 900 х 120 мм.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Матрас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с </w:t>
            </w:r>
            <w:proofErr w:type="spellStart"/>
            <w:r>
              <w:rPr>
                <w:sz w:val="22"/>
                <w:szCs w:val="22"/>
              </w:rPr>
              <w:t>гелевым</w:t>
            </w:r>
            <w:proofErr w:type="spellEnd"/>
            <w:r>
              <w:rPr>
                <w:sz w:val="22"/>
                <w:szCs w:val="22"/>
              </w:rPr>
              <w:t xml:space="preserve"> наполнителем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 w:rsidP="00A155A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</w:t>
            </w:r>
            <w:proofErr w:type="spellStart"/>
            <w:r>
              <w:rPr>
                <w:sz w:val="22"/>
                <w:szCs w:val="22"/>
              </w:rPr>
              <w:t>гелевый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A155AF" w:rsidRDefault="00A155A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AF" w:rsidRDefault="00A155AF" w:rsidP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lastRenderedPageBreak/>
              <w:t>Противопролежневый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эффект достигается за счет перетекающих </w:t>
            </w:r>
            <w:r>
              <w:rPr>
                <w:rFonts w:eastAsia="Calibri"/>
                <w:sz w:val="22"/>
                <w:szCs w:val="22"/>
              </w:rPr>
              <w:lastRenderedPageBreak/>
              <w:t>элементов, расположенных внутри матраца.</w:t>
            </w:r>
          </w:p>
          <w:p w:rsidR="00A155AF" w:rsidRDefault="00A155AF" w:rsidP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Наполнитель - гель. </w:t>
            </w:r>
          </w:p>
          <w:p w:rsidR="00A155AF" w:rsidRDefault="00A155AF" w:rsidP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 w:rsidP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 w:rsidP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-съемный чехол из непромокаемой воздухопроницаемой ткани с замком типа «молния»;</w:t>
            </w:r>
          </w:p>
          <w:p w:rsidR="00A155AF" w:rsidRDefault="00A155AF" w:rsidP="00A155AF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 w:rsidP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Допустимая нагрузка: не менее </w:t>
            </w:r>
            <w:r w:rsidRPr="00A155A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кг.</w:t>
            </w:r>
          </w:p>
          <w:p w:rsidR="00A155AF" w:rsidRDefault="00A155AF" w:rsidP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изделия не менее </w:t>
            </w:r>
            <w:r w:rsidRPr="00A155AF">
              <w:rPr>
                <w:sz w:val="22"/>
                <w:szCs w:val="22"/>
              </w:rPr>
              <w:t>1300</w:t>
            </w:r>
            <w:r>
              <w:rPr>
                <w:sz w:val="22"/>
                <w:szCs w:val="22"/>
              </w:rPr>
              <w:t xml:space="preserve"> х 800 х 70 мм, не более </w:t>
            </w:r>
            <w:r w:rsidRPr="00A155AF">
              <w:rPr>
                <w:sz w:val="22"/>
                <w:szCs w:val="22"/>
              </w:rPr>
              <w:t>1600</w:t>
            </w:r>
            <w:r>
              <w:rPr>
                <w:sz w:val="22"/>
                <w:szCs w:val="22"/>
              </w:rPr>
              <w:t xml:space="preserve"> х </w:t>
            </w:r>
            <w:r w:rsidRPr="00A155AF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 xml:space="preserve"> х </w:t>
            </w:r>
            <w:r w:rsidRPr="00A155AF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P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Система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с надувным матрасом с регулируемым давлением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воздушный</w:t>
            </w:r>
          </w:p>
          <w:p w:rsidR="00A155AF" w:rsidRDefault="00A15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компрессором)</w:t>
            </w:r>
          </w:p>
          <w:p w:rsidR="00A155AF" w:rsidRDefault="00A155AF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состоит из воздушных ячеек.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 xml:space="preserve"> матрац обеспечивает плавное изменение давления на поверхность тела лежачего пациента. Создаваемый им эффект непрерывного массажа нормализует кровообращение и предотвращает появление пролежней. 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ячеистых матрацах отделения наполняются переменно, поочередно. 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давления в зависимости от веса пациента.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Бесшумное накачивающее устройство.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матрац </w:t>
            </w:r>
            <w:proofErr w:type="spellStart"/>
            <w:r>
              <w:rPr>
                <w:sz w:val="22"/>
                <w:szCs w:val="22"/>
              </w:rPr>
              <w:t>противопролежневый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трубка соединительная;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компрессор (насос воздушный); 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ремкомплект</w:t>
            </w:r>
            <w:proofErr w:type="spellEnd"/>
            <w:r>
              <w:rPr>
                <w:sz w:val="22"/>
                <w:szCs w:val="22"/>
              </w:rPr>
              <w:t xml:space="preserve"> (заплата ПВХ 2 шт., клей 1 шт.);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110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матраца: не менее 1800 х 800 х 60 мм, не более 2100 х 1000 х 90 мм.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P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156503">
            <w:pPr>
              <w:rPr>
                <w:sz w:val="22"/>
                <w:szCs w:val="22"/>
                <w:highlight w:val="yellow"/>
              </w:rPr>
            </w:pPr>
            <w:r w:rsidRPr="00156503">
              <w:rPr>
                <w:sz w:val="22"/>
                <w:szCs w:val="22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полиуретановая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Подушка изготовлена из вязко-эластичного </w:t>
            </w:r>
            <w:proofErr w:type="spellStart"/>
            <w:r>
              <w:rPr>
                <w:sz w:val="22"/>
                <w:szCs w:val="22"/>
              </w:rPr>
              <w:t>пенополиуретана</w:t>
            </w:r>
            <w:proofErr w:type="spellEnd"/>
            <w:r>
              <w:rPr>
                <w:sz w:val="22"/>
                <w:szCs w:val="22"/>
              </w:rPr>
              <w:t xml:space="preserve"> с эффектом запоминания формы. 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lastRenderedPageBreak/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(водостойкий, съемный);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Допустимая нагрузка: не менее 120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изделия: не менее 400 х 400 х 40 </w:t>
            </w:r>
            <w:r>
              <w:rPr>
                <w:sz w:val="22"/>
                <w:szCs w:val="22"/>
              </w:rPr>
              <w:lastRenderedPageBreak/>
              <w:t>мм, не более 400 х 400 х 60 мм.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P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156503">
            <w:pPr>
              <w:rPr>
                <w:sz w:val="22"/>
                <w:szCs w:val="22"/>
                <w:highlight w:val="yellow"/>
              </w:rPr>
            </w:pPr>
            <w:r w:rsidRPr="00156503">
              <w:rPr>
                <w:rStyle w:val="ng-binding"/>
                <w:sz w:val="22"/>
                <w:szCs w:val="22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</w:t>
            </w:r>
            <w:proofErr w:type="spellStart"/>
            <w:r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подушек: гель.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чехол (водостойкий, съемный);</w:t>
            </w:r>
          </w:p>
          <w:p w:rsidR="00A155AF" w:rsidRDefault="00A155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паспорт на русском языке.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120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товара: не менее 400 х 400 х 40 мм, не более 450 х 400 х 60 мм.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</w:tr>
      <w:tr w:rsidR="00A155AF" w:rsidTr="00A155AF">
        <w:trPr>
          <w:trHeight w:val="27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P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156503">
            <w:pPr>
              <w:rPr>
                <w:sz w:val="22"/>
                <w:szCs w:val="22"/>
                <w:highlight w:val="yellow"/>
              </w:rPr>
            </w:pPr>
            <w:r w:rsidRPr="00156503">
              <w:rPr>
                <w:rStyle w:val="ng-binding"/>
                <w:sz w:val="22"/>
                <w:szCs w:val="22"/>
              </w:rPr>
              <w:t>Изделия из резины, кроме твердой резины (эбонита), гигиенические или фармацевтические прочие</w:t>
            </w:r>
            <w:bookmarkStart w:id="0" w:name="_GoBack"/>
            <w:bookmarkEnd w:id="0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 xml:space="preserve"> подушка (воздушная)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подушек: воздух.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 имеет взаимосвязанную ячеистую или трубчатую структуру.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комплект поставки входят: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подушка </w:t>
            </w:r>
            <w:proofErr w:type="spellStart"/>
            <w:r>
              <w:rPr>
                <w:sz w:val="22"/>
                <w:szCs w:val="22"/>
              </w:rPr>
              <w:t>противопролежневая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155AF" w:rsidRDefault="00A155A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паспорт на русском языке.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Допустимая нагрузка: не менее 120 кг.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товара: не менее 400 х 400 х 40 мм, не более 460 х 410 х 64 мм.</w:t>
            </w:r>
          </w:p>
          <w:p w:rsidR="00A155AF" w:rsidRDefault="00A155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</w:tr>
      <w:tr w:rsidR="00A155AF" w:rsidTr="00A155AF">
        <w:trPr>
          <w:trHeight w:val="70"/>
        </w:trPr>
        <w:tc>
          <w:tcPr>
            <w:tcW w:w="47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Default="00A155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AF" w:rsidRPr="00A155AF" w:rsidRDefault="00A155AF">
            <w:pPr>
              <w:ind w:left="-113" w:right="-11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480</w:t>
            </w:r>
          </w:p>
        </w:tc>
      </w:tr>
    </w:tbl>
    <w:p w:rsidR="008F6CE0" w:rsidRPr="00D11C50" w:rsidRDefault="008F6CE0" w:rsidP="00A35954"/>
    <w:p w:rsidR="004C76B6" w:rsidRDefault="003D191B" w:rsidP="00A35954">
      <w:r>
        <w:rPr>
          <w:b/>
          <w:lang w:eastAsia="ru-RU"/>
        </w:rPr>
        <w:t>Требования к поставляемому товару:</w:t>
      </w:r>
    </w:p>
    <w:p w:rsidR="005940C3" w:rsidRDefault="005940C3" w:rsidP="005940C3">
      <w:pPr>
        <w:jc w:val="both"/>
      </w:pPr>
      <w:r>
        <w:t>Гарантийный срок:  12 месяцев с момента подписания Акта.</w:t>
      </w:r>
    </w:p>
    <w:p w:rsidR="005940C3" w:rsidRDefault="005940C3" w:rsidP="005940C3">
      <w:pPr>
        <w:ind w:firstLine="709"/>
        <w:jc w:val="both"/>
      </w:pPr>
      <w:r>
        <w:t xml:space="preserve"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или </w:t>
      </w:r>
      <w:proofErr w:type="spellStart"/>
      <w:r>
        <w:t>абилитации</w:t>
      </w:r>
      <w:proofErr w:type="spellEnd"/>
      <w:r>
        <w:t xml:space="preserve"> инвалидов (детей-инвалидов). </w:t>
      </w:r>
    </w:p>
    <w:p w:rsidR="005940C3" w:rsidRDefault="005940C3" w:rsidP="005940C3">
      <w:pPr>
        <w:ind w:firstLine="708"/>
        <w:jc w:val="both"/>
      </w:pPr>
      <w:r>
        <w:t xml:space="preserve"> 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940C3" w:rsidRDefault="005940C3" w:rsidP="005940C3">
      <w:pPr>
        <w:jc w:val="both"/>
      </w:pPr>
      <w:proofErr w:type="spellStart"/>
      <w:r>
        <w:t>Противопролежневые</w:t>
      </w:r>
      <w:proofErr w:type="spellEnd"/>
      <w:r>
        <w:t xml:space="preserve"> матрацы и подушки в качестве технического средства реабилитации предназначены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Они могут быть использованы в 24-часовом режиме ухода за инвалидами. </w:t>
      </w:r>
    </w:p>
    <w:p w:rsidR="005940C3" w:rsidRDefault="005940C3" w:rsidP="005940C3">
      <w:pPr>
        <w:jc w:val="both"/>
      </w:pPr>
      <w:r>
        <w:t>Качество изделий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5940C3" w:rsidRDefault="005940C3" w:rsidP="005940C3">
      <w:pPr>
        <w:jc w:val="both"/>
      </w:pPr>
      <w:proofErr w:type="gramStart"/>
      <w: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с действующими требованиями Государственного стандарта Российской Федерации (ГОСТ </w:t>
      </w:r>
      <w:r>
        <w:rPr>
          <w:lang w:val="en-US"/>
        </w:rPr>
        <w:t>ISO</w:t>
      </w:r>
      <w:r>
        <w:t xml:space="preserve"> 10993-1-2011 «Изделия медицинские.</w:t>
      </w:r>
      <w:proofErr w:type="gramEnd"/>
      <w:r>
        <w:t xml:space="preserve">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 «Изделия медицинские. Требования </w:t>
      </w:r>
      <w:r>
        <w:lastRenderedPageBreak/>
        <w:t xml:space="preserve">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</w:t>
      </w:r>
      <w:proofErr w:type="gramStart"/>
      <w:r>
        <w:t>Общие технические требования и методы испытаний»).</w:t>
      </w:r>
      <w:proofErr w:type="gramEnd"/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>ГОСТ 30324.0.4-2002 (МЭК 60601-1-4:1996). Межгосударственный стандарт. Изделия медицинские электрические. Часть 1. Общие требования безопасности. 4. Требования безопасности к программируемым медицинским электронным системам" (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1313-ст)</w:t>
      </w:r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>ГОСТ 30324.35-2002 (МЭК 60601-2-35:1996). Межгосударственный стандарт. Изделия медицинские электрические. Часть 2. Частные требования безопасности к одеялам, подушкам и матрацам медицинским электрическим (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29.11.2012 N 1317-ст)</w:t>
      </w:r>
    </w:p>
    <w:p w:rsidR="005940C3" w:rsidRDefault="005940C3" w:rsidP="005940C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ГОСТ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 xml:space="preserve"> МЭК 60601-1-2-2014. Национальный стандарт Российской Федерации. 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 (утв. и 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26.02.2014 N 45-ст)</w:t>
      </w:r>
    </w:p>
    <w:p w:rsidR="005940C3" w:rsidRDefault="005940C3" w:rsidP="005940C3">
      <w:pPr>
        <w:ind w:firstLine="540"/>
        <w:jc w:val="both"/>
      </w:pPr>
      <w:r>
        <w:rPr>
          <w:lang w:eastAsia="ru-RU"/>
        </w:rPr>
        <w:t>ГОСТ IEC 60601-1-1-2011. Межгосударственный стандарт. Изделия медицинские электрические. Часть 1-1. Общие требования безопасности. Требования безопасности к медицинским электрическим системам (</w:t>
      </w:r>
      <w:proofErr w:type="gramStart"/>
      <w:r>
        <w:rPr>
          <w:lang w:eastAsia="ru-RU"/>
        </w:rPr>
        <w:t>введен</w:t>
      </w:r>
      <w:proofErr w:type="gramEnd"/>
      <w:r>
        <w:rPr>
          <w:lang w:eastAsia="ru-RU"/>
        </w:rPr>
        <w:t xml:space="preserve"> в действие Приказом </w:t>
      </w:r>
      <w:proofErr w:type="spellStart"/>
      <w:r>
        <w:rPr>
          <w:lang w:eastAsia="ru-RU"/>
        </w:rPr>
        <w:t>Росстандарта</w:t>
      </w:r>
      <w:proofErr w:type="spellEnd"/>
      <w:r>
        <w:rPr>
          <w:lang w:eastAsia="ru-RU"/>
        </w:rPr>
        <w:t xml:space="preserve"> от 13.12.2011 N 1323-ст).</w:t>
      </w:r>
    </w:p>
    <w:p w:rsidR="005940C3" w:rsidRDefault="005940C3" w:rsidP="005940C3">
      <w:pPr>
        <w:jc w:val="both"/>
      </w:pPr>
      <w:r>
        <w:t>В соответствии с Федеральным законом от 21.11.2011г.  № 323-ФЗ «Об основах охраны здоровья граждан в Российской Федерации» и Постановлением Правительства Российской Федерации от 27.12.2012г. 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5940C3" w:rsidRDefault="005940C3" w:rsidP="005940C3">
      <w:pPr>
        <w:jc w:val="both"/>
      </w:pPr>
      <w: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940C3" w:rsidRDefault="005940C3" w:rsidP="005940C3">
      <w:pPr>
        <w:jc w:val="both"/>
      </w:pPr>
      <w: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940C3" w:rsidRDefault="005940C3" w:rsidP="005940C3">
      <w:pPr>
        <w:jc w:val="both"/>
      </w:pPr>
      <w:r>
        <w:t>-безопасность для кожных покровов;</w:t>
      </w:r>
    </w:p>
    <w:p w:rsidR="005940C3" w:rsidRDefault="005940C3" w:rsidP="005940C3">
      <w:pPr>
        <w:jc w:val="both"/>
      </w:pPr>
      <w:r>
        <w:t>-эстетичность;</w:t>
      </w:r>
    </w:p>
    <w:p w:rsidR="005940C3" w:rsidRDefault="005940C3" w:rsidP="005940C3">
      <w:pPr>
        <w:jc w:val="both"/>
      </w:pPr>
      <w:r>
        <w:t>-незаметность, комфортность;</w:t>
      </w:r>
    </w:p>
    <w:p w:rsidR="005940C3" w:rsidRDefault="005940C3" w:rsidP="005940C3">
      <w:pPr>
        <w:jc w:val="both"/>
      </w:pPr>
      <w:r>
        <w:t>-простота пользования.</w:t>
      </w:r>
    </w:p>
    <w:p w:rsidR="005940C3" w:rsidRDefault="005940C3" w:rsidP="005940C3">
      <w:pPr>
        <w:jc w:val="both"/>
      </w:pPr>
      <w: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5940C3" w:rsidRDefault="005940C3" w:rsidP="005940C3">
      <w:pPr>
        <w:jc w:val="both"/>
      </w:pPr>
      <w: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940C3" w:rsidRDefault="005940C3" w:rsidP="005940C3">
      <w:pPr>
        <w:jc w:val="both"/>
      </w:pPr>
      <w:r>
        <w:t>Срок гарантийного ремонта со дня обращения Получателя не должен превышать 20 (двадцати) рабочих дней.</w:t>
      </w:r>
    </w:p>
    <w:p w:rsidR="005940C3" w:rsidRDefault="005940C3" w:rsidP="005940C3">
      <w:pPr>
        <w:jc w:val="both"/>
      </w:pPr>
      <w:r>
        <w:t>Каждый товар должен быть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5940C3" w:rsidRDefault="005940C3" w:rsidP="005940C3">
      <w:pPr>
        <w:jc w:val="both"/>
      </w:pPr>
      <w: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5940C3" w:rsidRDefault="005940C3" w:rsidP="005940C3">
      <w:pPr>
        <w:jc w:val="both"/>
      </w:pPr>
      <w: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5940C3" w:rsidRDefault="005940C3" w:rsidP="005940C3">
      <w:pPr>
        <w:jc w:val="both"/>
      </w:pPr>
      <w:r>
        <w:t xml:space="preserve">Маркировка и упаковка должны быть выполнены в соответствии с ГОСТ </w:t>
      </w:r>
      <w:proofErr w:type="gramStart"/>
      <w:r>
        <w:t>Р</w:t>
      </w:r>
      <w:proofErr w:type="gramEnd"/>
      <w:r>
        <w:t xml:space="preserve"> 50460-92 «Знак соответствия при обязательной сертификации. Форма, размеры и технические требования».</w:t>
      </w:r>
    </w:p>
    <w:p w:rsidR="005940C3" w:rsidRDefault="005940C3" w:rsidP="005940C3">
      <w:pPr>
        <w:jc w:val="both"/>
        <w:rPr>
          <w:b/>
        </w:rPr>
      </w:pPr>
      <w:r>
        <w:rPr>
          <w:b/>
        </w:rPr>
        <w:t>Маркировка упаковки товара должна включать:</w:t>
      </w:r>
    </w:p>
    <w:p w:rsidR="005940C3" w:rsidRDefault="005940C3" w:rsidP="005940C3">
      <w:pPr>
        <w:jc w:val="both"/>
      </w:pPr>
      <w:r>
        <w:t>- условное обозначение группы изделий, товарную марку (при наличии), обозначение номера изделия (при наличии);</w:t>
      </w:r>
    </w:p>
    <w:p w:rsidR="005940C3" w:rsidRDefault="005940C3" w:rsidP="005940C3">
      <w:pPr>
        <w:jc w:val="both"/>
      </w:pPr>
      <w:r>
        <w:t>- страну-изготовителя;</w:t>
      </w:r>
    </w:p>
    <w:p w:rsidR="005940C3" w:rsidRDefault="005940C3" w:rsidP="005940C3">
      <w:pPr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5940C3" w:rsidRDefault="005940C3" w:rsidP="005940C3">
      <w:pPr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5940C3" w:rsidRDefault="005940C3" w:rsidP="005940C3">
      <w:pPr>
        <w:jc w:val="both"/>
      </w:pPr>
      <w:r>
        <w:t>- номер артикула (при наличии);</w:t>
      </w:r>
    </w:p>
    <w:p w:rsidR="005940C3" w:rsidRDefault="005940C3" w:rsidP="005940C3">
      <w:pPr>
        <w:jc w:val="both"/>
      </w:pPr>
      <w:r>
        <w:t>- количество изделий в упаковке;</w:t>
      </w:r>
    </w:p>
    <w:p w:rsidR="005940C3" w:rsidRDefault="005940C3" w:rsidP="005940C3">
      <w:pPr>
        <w:jc w:val="both"/>
      </w:pPr>
      <w:r>
        <w:t>- дату (месяц, год) изготовления или гарантийный срок годности (при наличии);</w:t>
      </w:r>
    </w:p>
    <w:p w:rsidR="005940C3" w:rsidRDefault="005940C3" w:rsidP="005940C3">
      <w:pPr>
        <w:jc w:val="both"/>
      </w:pPr>
      <w:r>
        <w:t>- правила использования (при необходимости);</w:t>
      </w:r>
    </w:p>
    <w:p w:rsidR="005940C3" w:rsidRDefault="005940C3" w:rsidP="005940C3">
      <w:pPr>
        <w:jc w:val="both"/>
      </w:pPr>
      <w:r>
        <w:t>- штриховой код изделия (при наличии);</w:t>
      </w:r>
    </w:p>
    <w:p w:rsidR="005940C3" w:rsidRDefault="005940C3" w:rsidP="005940C3">
      <w:pPr>
        <w:jc w:val="both"/>
      </w:pPr>
      <w:r>
        <w:t>- информацию о сертификации (при наличии).</w:t>
      </w:r>
    </w:p>
    <w:p w:rsidR="005940C3" w:rsidRDefault="005940C3" w:rsidP="005940C3">
      <w:pPr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043B52" w:rsidRPr="00043B52" w:rsidRDefault="00043B52" w:rsidP="00043B52">
      <w:pPr>
        <w:keepNext/>
        <w:tabs>
          <w:tab w:val="left" w:pos="567"/>
        </w:tabs>
        <w:jc w:val="both"/>
      </w:pPr>
      <w:r w:rsidRPr="00043B52">
        <w:rPr>
          <w:b/>
        </w:rPr>
        <w:lastRenderedPageBreak/>
        <w:t>Место поставки товара</w:t>
      </w:r>
      <w:r w:rsidRPr="00043B52">
        <w:t>:</w:t>
      </w:r>
    </w:p>
    <w:p w:rsidR="00043B52" w:rsidRPr="00043B52" w:rsidRDefault="00043B52" w:rsidP="00043B52">
      <w:pPr>
        <w:keepNext/>
        <w:tabs>
          <w:tab w:val="left" w:pos="567"/>
        </w:tabs>
        <w:jc w:val="both"/>
      </w:pPr>
      <w:r w:rsidRPr="00043B52">
        <w:tab/>
        <w:t>Поставщик о</w:t>
      </w:r>
      <w:r w:rsidR="00C75E8A">
        <w:t>бязан предоставить Получателям</w:t>
      </w:r>
      <w:r w:rsidR="00C75E8A" w:rsidRPr="00C75E8A">
        <w:t xml:space="preserve"> </w:t>
      </w:r>
      <w:r w:rsidRPr="00043B52">
        <w:t>согласно реестру получателей Товара</w:t>
      </w:r>
      <w:r w:rsidR="00C75E8A" w:rsidRPr="00C75E8A">
        <w:t xml:space="preserve"> </w:t>
      </w:r>
      <w:r w:rsidRPr="00043B52">
        <w:t>право выбора одного из способов получения Товара: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>- по месту жительства Получателя;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>- в пунктах выдачи.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043B52">
        <w:rPr>
          <w:rFonts w:ascii="Times New Roman" w:hAnsi="Times New Roman"/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43B52">
        <w:rPr>
          <w:rFonts w:ascii="Times New Roman" w:hAnsi="Times New Roman"/>
          <w:sz w:val="20"/>
          <w:szCs w:val="20"/>
        </w:rPr>
        <w:t xml:space="preserve">- обеспечить передачу Товара Получателям в стационарных пунктах выдачи, организованных в соответствии с </w:t>
      </w:r>
      <w:hyperlink r:id="rId6" w:history="1"/>
      <w:r w:rsidRPr="00043B52">
        <w:rPr>
          <w:rFonts w:ascii="Times New Roman" w:hAnsi="Times New Roman"/>
          <w:sz w:val="20"/>
          <w:szCs w:val="20"/>
        </w:rPr>
        <w:t xml:space="preserve">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</w:t>
      </w:r>
      <w:proofErr w:type="gramEnd"/>
      <w:r w:rsidRPr="00043B52">
        <w:rPr>
          <w:rFonts w:ascii="Times New Roman" w:hAnsi="Times New Roman"/>
          <w:sz w:val="20"/>
          <w:szCs w:val="20"/>
        </w:rPr>
        <w:t xml:space="preserve"> соисполнителей;</w:t>
      </w:r>
    </w:p>
    <w:p w:rsidR="00043B52" w:rsidRPr="00043B52" w:rsidRDefault="00043B52" w:rsidP="00043B52">
      <w:pPr>
        <w:pStyle w:val="a7"/>
        <w:keepNext/>
        <w:widowControl w:val="0"/>
        <w:tabs>
          <w:tab w:val="left" w:pos="3495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B52">
        <w:rPr>
          <w:rFonts w:ascii="Times New Roman" w:hAnsi="Times New Roman"/>
          <w:sz w:val="20"/>
          <w:szCs w:val="20"/>
        </w:rPr>
        <w:t>- установить график работы пунктов выдачи Товара, включая работу в один из выходных дней.</w:t>
      </w:r>
    </w:p>
    <w:p w:rsidR="00043B52" w:rsidRPr="00043B52" w:rsidRDefault="00043B52" w:rsidP="00043B52">
      <w:pPr>
        <w:pStyle w:val="a6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43B52">
        <w:rPr>
          <w:rFonts w:ascii="Times New Roman" w:hAnsi="Times New Roman"/>
          <w:color w:val="000000"/>
          <w:sz w:val="20"/>
          <w:szCs w:val="20"/>
        </w:rPr>
        <w:t xml:space="preserve">Поставка товара Получателям, </w:t>
      </w:r>
      <w:r w:rsidRPr="00043B52">
        <w:rPr>
          <w:rFonts w:ascii="Times New Roman" w:hAnsi="Times New Roman"/>
          <w:sz w:val="20"/>
          <w:szCs w:val="20"/>
          <w:lang w:eastAsia="ru-RU"/>
        </w:rPr>
        <w:t>нуждающимся в оказании паллиативной медицинской помощи, осуществляется по месту жительства Получателя.</w:t>
      </w:r>
    </w:p>
    <w:p w:rsidR="00043B52" w:rsidRPr="00043B52" w:rsidRDefault="00043B52" w:rsidP="00043B52">
      <w:pPr>
        <w:jc w:val="both"/>
        <w:rPr>
          <w:b/>
        </w:rPr>
      </w:pPr>
      <w:r w:rsidRPr="00043B52">
        <w:rPr>
          <w:b/>
        </w:rPr>
        <w:t>Срок поставки товара до Получателя:</w:t>
      </w:r>
    </w:p>
    <w:p w:rsidR="00043B52" w:rsidRPr="00043B52" w:rsidRDefault="00043B52" w:rsidP="00043B52">
      <w:pPr>
        <w:ind w:firstLine="706"/>
        <w:jc w:val="both"/>
      </w:pPr>
      <w:r w:rsidRPr="00043B52">
        <w:t>Поставка Товара Получателям осуществляется Поставщиком после получения от Заказчика реестра получателей Товара.</w:t>
      </w:r>
    </w:p>
    <w:p w:rsidR="00043B52" w:rsidRPr="00043B52" w:rsidRDefault="00043B52" w:rsidP="00043B52">
      <w:pPr>
        <w:jc w:val="both"/>
      </w:pPr>
      <w:r w:rsidRPr="00043B52">
        <w:tab/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43B52" w:rsidRPr="00043B52" w:rsidRDefault="00043B52" w:rsidP="00043B52">
      <w:pPr>
        <w:jc w:val="both"/>
      </w:pPr>
      <w:r w:rsidRPr="00043B52">
        <w:tab/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5940C3" w:rsidRPr="00043B52" w:rsidRDefault="005940C3" w:rsidP="005940C3">
      <w:pPr>
        <w:jc w:val="both"/>
        <w:rPr>
          <w:b/>
        </w:rPr>
      </w:pPr>
      <w:r w:rsidRPr="00043B52">
        <w:rPr>
          <w:b/>
        </w:rPr>
        <w:t xml:space="preserve">            </w:t>
      </w:r>
    </w:p>
    <w:p w:rsidR="008A149F" w:rsidRPr="00043B52" w:rsidRDefault="008A149F" w:rsidP="005940C3">
      <w:pPr>
        <w:jc w:val="both"/>
      </w:pPr>
    </w:p>
    <w:sectPr w:rsidR="008A149F" w:rsidRPr="0004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D"/>
    <w:rsid w:val="00043B52"/>
    <w:rsid w:val="000961A9"/>
    <w:rsid w:val="00156503"/>
    <w:rsid w:val="00164780"/>
    <w:rsid w:val="0022721E"/>
    <w:rsid w:val="00235AFB"/>
    <w:rsid w:val="00286F04"/>
    <w:rsid w:val="002C7C50"/>
    <w:rsid w:val="00340589"/>
    <w:rsid w:val="00356775"/>
    <w:rsid w:val="003971CD"/>
    <w:rsid w:val="003D191B"/>
    <w:rsid w:val="003E6A1F"/>
    <w:rsid w:val="00412A34"/>
    <w:rsid w:val="00487320"/>
    <w:rsid w:val="004A3363"/>
    <w:rsid w:val="004B754F"/>
    <w:rsid w:val="004C76B6"/>
    <w:rsid w:val="005302C0"/>
    <w:rsid w:val="00562751"/>
    <w:rsid w:val="005940C3"/>
    <w:rsid w:val="005C0AB0"/>
    <w:rsid w:val="006044CC"/>
    <w:rsid w:val="00641529"/>
    <w:rsid w:val="0066558E"/>
    <w:rsid w:val="006918DB"/>
    <w:rsid w:val="006C5844"/>
    <w:rsid w:val="006D63E9"/>
    <w:rsid w:val="007217B6"/>
    <w:rsid w:val="007C5485"/>
    <w:rsid w:val="008219DE"/>
    <w:rsid w:val="00827045"/>
    <w:rsid w:val="00857689"/>
    <w:rsid w:val="00882878"/>
    <w:rsid w:val="008A149F"/>
    <w:rsid w:val="008F4EFF"/>
    <w:rsid w:val="008F6CE0"/>
    <w:rsid w:val="00914765"/>
    <w:rsid w:val="009452A9"/>
    <w:rsid w:val="009578DB"/>
    <w:rsid w:val="00961AFE"/>
    <w:rsid w:val="009F1CB9"/>
    <w:rsid w:val="00A06553"/>
    <w:rsid w:val="00A155AF"/>
    <w:rsid w:val="00A21DE4"/>
    <w:rsid w:val="00A35954"/>
    <w:rsid w:val="00A6329C"/>
    <w:rsid w:val="00B172F6"/>
    <w:rsid w:val="00BA0987"/>
    <w:rsid w:val="00BD3B0B"/>
    <w:rsid w:val="00BE3305"/>
    <w:rsid w:val="00C22F93"/>
    <w:rsid w:val="00C55A65"/>
    <w:rsid w:val="00C75E8A"/>
    <w:rsid w:val="00CB08BE"/>
    <w:rsid w:val="00D9513D"/>
    <w:rsid w:val="00E343D0"/>
    <w:rsid w:val="00E625F3"/>
    <w:rsid w:val="00E85FB3"/>
    <w:rsid w:val="00E94D7D"/>
    <w:rsid w:val="00F0282E"/>
    <w:rsid w:val="00F61740"/>
    <w:rsid w:val="00F75D66"/>
    <w:rsid w:val="00F85807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E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356775"/>
    <w:pPr>
      <w:suppressAutoHyphens w:val="0"/>
      <w:autoSpaceDN w:val="0"/>
      <w:spacing w:before="100" w:after="100"/>
    </w:pPr>
    <w:rPr>
      <w:sz w:val="24"/>
      <w:szCs w:val="24"/>
      <w:lang w:eastAsia="ru-RU"/>
    </w:rPr>
  </w:style>
  <w:style w:type="paragraph" w:styleId="a6">
    <w:name w:val="No Spacing"/>
    <w:qFormat/>
    <w:rsid w:val="005940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qFormat/>
    <w:rsid w:val="005940C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A155AF"/>
    <w:pPr>
      <w:suppressLineNumbers/>
    </w:pPr>
    <w:rPr>
      <w:sz w:val="24"/>
      <w:szCs w:val="24"/>
    </w:rPr>
  </w:style>
  <w:style w:type="character" w:customStyle="1" w:styleId="ng-binding">
    <w:name w:val="ng-binding"/>
    <w:rsid w:val="00A15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3E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356775"/>
    <w:pPr>
      <w:suppressAutoHyphens w:val="0"/>
      <w:autoSpaceDN w:val="0"/>
      <w:spacing w:before="100" w:after="100"/>
    </w:pPr>
    <w:rPr>
      <w:sz w:val="24"/>
      <w:szCs w:val="24"/>
      <w:lang w:eastAsia="ru-RU"/>
    </w:rPr>
  </w:style>
  <w:style w:type="paragraph" w:styleId="a6">
    <w:name w:val="No Spacing"/>
    <w:qFormat/>
    <w:rsid w:val="005940C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List Paragraph"/>
    <w:basedOn w:val="a"/>
    <w:qFormat/>
    <w:rsid w:val="005940C3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Содержимое таблицы"/>
    <w:basedOn w:val="a"/>
    <w:rsid w:val="00A155AF"/>
    <w:pPr>
      <w:suppressLineNumbers/>
    </w:pPr>
    <w:rPr>
      <w:sz w:val="24"/>
      <w:szCs w:val="24"/>
    </w:rPr>
  </w:style>
  <w:style w:type="character" w:customStyle="1" w:styleId="ng-binding">
    <w:name w:val="ng-binding"/>
    <w:rsid w:val="00A1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FB3C1A35FC7DC9F61988D4B44CE1534D28FBCD5DD0D42AA6B3B0EC856414CFB911D06E397039F91F184EDD84JFo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6E61-0C92-4D69-BDD0-84B0B357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18010014</dc:creator>
  <cp:lastModifiedBy>Жвакина Татьяна Анатольевна</cp:lastModifiedBy>
  <cp:revision>3</cp:revision>
  <cp:lastPrinted>2017-01-30T07:02:00Z</cp:lastPrinted>
  <dcterms:created xsi:type="dcterms:W3CDTF">2019-12-11T05:59:00Z</dcterms:created>
  <dcterms:modified xsi:type="dcterms:W3CDTF">2019-12-11T06:46:00Z</dcterms:modified>
</cp:coreProperties>
</file>