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6" w:rsidRPr="00D637D8" w:rsidRDefault="00291D46" w:rsidP="00291D46">
      <w:pPr>
        <w:pStyle w:val="a6"/>
        <w:spacing w:after="240"/>
        <w:rPr>
          <w:bCs/>
          <w:sz w:val="28"/>
          <w:szCs w:val="28"/>
          <w:lang w:eastAsia="en-US"/>
        </w:rPr>
      </w:pPr>
      <w:r w:rsidRPr="00D637D8">
        <w:rPr>
          <w:bCs/>
          <w:sz w:val="28"/>
          <w:szCs w:val="28"/>
          <w:lang w:eastAsia="en-US"/>
        </w:rPr>
        <w:t>Описание объекта закупки</w:t>
      </w:r>
      <w:r w:rsidR="00F657FC">
        <w:rPr>
          <w:bCs/>
          <w:sz w:val="28"/>
          <w:szCs w:val="28"/>
          <w:lang w:eastAsia="en-US"/>
        </w:rPr>
        <w:t xml:space="preserve"> </w:t>
      </w:r>
    </w:p>
    <w:p w:rsidR="008120E8" w:rsidRPr="008120E8" w:rsidRDefault="008120E8" w:rsidP="008120E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</w:p>
    <w:p w:rsidR="00C50DF7" w:rsidRPr="00C50DF7" w:rsidRDefault="00C50DF7" w:rsidP="00C50DF7">
      <w:pPr>
        <w:suppressAutoHyphens/>
        <w:autoSpaceDE w:val="0"/>
        <w:ind w:firstLine="709"/>
        <w:jc w:val="center"/>
        <w:rPr>
          <w:b/>
        </w:rPr>
      </w:pPr>
      <w:r w:rsidRPr="00C50DF7">
        <w:rPr>
          <w:b/>
        </w:rPr>
        <w:t xml:space="preserve">Выполнение работ по обеспечению инвалидов </w:t>
      </w:r>
      <w:proofErr w:type="spellStart"/>
      <w:r w:rsidRPr="00C50DF7">
        <w:rPr>
          <w:b/>
        </w:rPr>
        <w:t>г.Севастополя</w:t>
      </w:r>
      <w:proofErr w:type="spellEnd"/>
      <w:r w:rsidRPr="00C50DF7">
        <w:rPr>
          <w:b/>
        </w:rPr>
        <w:t xml:space="preserve"> протезно-ортопедическими изделиями, протезами голени в 2020г.</w:t>
      </w:r>
    </w:p>
    <w:p w:rsidR="001103ED" w:rsidRDefault="001103ED" w:rsidP="001103ED">
      <w:pPr>
        <w:suppressAutoHyphens/>
        <w:autoSpaceDE w:val="0"/>
        <w:ind w:firstLine="709"/>
        <w:jc w:val="both"/>
        <w:rPr>
          <w:lang w:eastAsia="ar-SA"/>
        </w:rPr>
      </w:pPr>
    </w:p>
    <w:p w:rsidR="001103ED" w:rsidRDefault="001103ED" w:rsidP="001103E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Протезы голени предназначены для инвалидов</w:t>
      </w:r>
      <w:r w:rsidRPr="004E66E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(далее получатели) </w:t>
      </w:r>
      <w:r w:rsidRPr="00E63D9A">
        <w:rPr>
          <w:rFonts w:ascii="Times New Roman" w:hAnsi="Times New Roman"/>
          <w:szCs w:val="24"/>
        </w:rPr>
        <w:t xml:space="preserve">в целях восстановления </w:t>
      </w:r>
      <w:r>
        <w:rPr>
          <w:rFonts w:ascii="Times New Roman" w:hAnsi="Times New Roman"/>
          <w:szCs w:val="24"/>
        </w:rPr>
        <w:t>и/</w:t>
      </w:r>
      <w:r w:rsidRPr="00E63D9A">
        <w:rPr>
          <w:rFonts w:ascii="Times New Roman" w:hAnsi="Times New Roman"/>
          <w:szCs w:val="24"/>
        </w:rPr>
        <w:t xml:space="preserve">или компенсации ограничений </w:t>
      </w:r>
      <w:r>
        <w:rPr>
          <w:rFonts w:ascii="Times New Roman" w:hAnsi="Times New Roman"/>
          <w:szCs w:val="24"/>
        </w:rPr>
        <w:t>их</w:t>
      </w:r>
      <w:r w:rsidRPr="00E63D9A">
        <w:rPr>
          <w:rFonts w:ascii="Times New Roman" w:hAnsi="Times New Roman"/>
          <w:szCs w:val="24"/>
        </w:rPr>
        <w:t xml:space="preserve"> жизнедеятельности (в зависимости от потребности получателя).</w:t>
      </w:r>
    </w:p>
    <w:p w:rsidR="001103ED" w:rsidRDefault="001103ED" w:rsidP="001103E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ascii="Times New Roman" w:hAnsi="Times New Roman"/>
          <w:szCs w:val="24"/>
        </w:rPr>
      </w:pPr>
      <w:r w:rsidRPr="00106E8D">
        <w:rPr>
          <w:rFonts w:ascii="Times New Roman" w:hAnsi="Times New Roman"/>
          <w:szCs w:val="24"/>
        </w:rPr>
        <w:t>Выполнение работ включает</w:t>
      </w:r>
      <w:r>
        <w:rPr>
          <w:rFonts w:ascii="Times New Roman" w:hAnsi="Times New Roman"/>
          <w:szCs w:val="24"/>
        </w:rPr>
        <w:t xml:space="preserve">: </w:t>
      </w:r>
      <w:r w:rsidRPr="00FF2B78">
        <w:rPr>
          <w:rFonts w:ascii="Times New Roman" w:hAnsi="Times New Roman"/>
          <w:szCs w:val="24"/>
        </w:rPr>
        <w:t>проведение индивидуального обмера,</w:t>
      </w:r>
      <w:r>
        <w:rPr>
          <w:rFonts w:ascii="Times New Roman" w:hAnsi="Times New Roman"/>
          <w:szCs w:val="24"/>
        </w:rPr>
        <w:t xml:space="preserve"> изготовление </w:t>
      </w:r>
      <w:r w:rsidRPr="00B004C4">
        <w:rPr>
          <w:rFonts w:ascii="Times New Roman" w:hAnsi="Times New Roman"/>
          <w:szCs w:val="24"/>
        </w:rPr>
        <w:t xml:space="preserve">протезно-ортопедических изделий (далее - ПОИ) </w:t>
      </w:r>
      <w:r w:rsidRPr="00106E8D">
        <w:rPr>
          <w:rFonts w:ascii="Times New Roman" w:hAnsi="Times New Roman"/>
          <w:szCs w:val="24"/>
        </w:rPr>
        <w:t>по индивидуальным обмерам</w:t>
      </w:r>
      <w:r>
        <w:rPr>
          <w:rFonts w:ascii="Times New Roman" w:hAnsi="Times New Roman"/>
          <w:szCs w:val="24"/>
        </w:rPr>
        <w:t xml:space="preserve">, </w:t>
      </w:r>
      <w:r w:rsidRPr="00106E8D">
        <w:rPr>
          <w:rFonts w:ascii="Times New Roman" w:hAnsi="Times New Roman"/>
          <w:szCs w:val="24"/>
        </w:rPr>
        <w:t>их примерк</w:t>
      </w:r>
      <w:r>
        <w:rPr>
          <w:rFonts w:ascii="Times New Roman" w:hAnsi="Times New Roman"/>
          <w:szCs w:val="24"/>
        </w:rPr>
        <w:t>у, а также обеспечение получателей указанными ПОИ</w:t>
      </w:r>
      <w:r w:rsidRPr="00106E8D">
        <w:rPr>
          <w:rFonts w:ascii="Times New Roman" w:hAnsi="Times New Roman"/>
          <w:szCs w:val="24"/>
        </w:rPr>
        <w:t xml:space="preserve"> по месту нахождения </w:t>
      </w:r>
      <w:r>
        <w:rPr>
          <w:rFonts w:ascii="Times New Roman" w:hAnsi="Times New Roman"/>
          <w:szCs w:val="24"/>
        </w:rPr>
        <w:t>с</w:t>
      </w:r>
      <w:r w:rsidRPr="00003C96">
        <w:rPr>
          <w:rFonts w:ascii="Times New Roman" w:hAnsi="Times New Roman"/>
          <w:szCs w:val="24"/>
        </w:rPr>
        <w:t>пециализированного пункта выдачи изделий</w:t>
      </w:r>
      <w:r w:rsidRPr="00B004C4">
        <w:t xml:space="preserve"> </w:t>
      </w:r>
      <w:r w:rsidRPr="00B004C4">
        <w:rPr>
          <w:rFonts w:ascii="Times New Roman" w:hAnsi="Times New Roman"/>
          <w:szCs w:val="24"/>
        </w:rPr>
        <w:t>или по месту жительства Получателя (дом, квартира) в г. Севастополе в случае невозможности его прибытия по объективным причинам.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 w:after="160" w:line="259" w:lineRule="auto"/>
        <w:ind w:left="1080"/>
        <w:contextualSpacing/>
        <w:jc w:val="both"/>
        <w:rPr>
          <w:rFonts w:eastAsia="ヒラギノ角ゴ Pro W3"/>
          <w:b/>
          <w:color w:val="000000"/>
        </w:rPr>
      </w:pPr>
      <w:r w:rsidRPr="000D6D81">
        <w:rPr>
          <w:rFonts w:eastAsia="ヒラギノ角ゴ Pro W3"/>
          <w:b/>
          <w:color w:val="000000"/>
        </w:rPr>
        <w:t>Требования к качеству выполняемых работ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0D6D81">
        <w:rPr>
          <w:rFonts w:eastAsia="ヒラギノ角ゴ Pro W3"/>
          <w:color w:val="000000"/>
        </w:rPr>
        <w:t>Качество изготавливаемых Изделий в зависимости от их вида соответств</w:t>
      </w:r>
      <w:r>
        <w:rPr>
          <w:rFonts w:eastAsia="ヒラギノ角ゴ Pro W3"/>
          <w:color w:val="000000"/>
        </w:rPr>
        <w:t>ует</w:t>
      </w:r>
      <w:r w:rsidRPr="000D6D81">
        <w:rPr>
          <w:rFonts w:eastAsia="ヒラギノ角ゴ Pro W3"/>
          <w:color w:val="000000"/>
        </w:rPr>
        <w:t xml:space="preserve"> следующим государственным стандартам (ГОСТ), действующим на территории Российской Федерации: 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0D6D81">
        <w:rPr>
          <w:rFonts w:eastAsia="ヒラギノ角ゴ Pro W3"/>
          <w:color w:val="000000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0D6D81">
        <w:rPr>
          <w:rFonts w:eastAsia="ヒラギノ角ゴ Pro W3"/>
          <w:color w:val="000000"/>
        </w:rPr>
        <w:t xml:space="preserve">ГОСТ Р ИСО 22523-2007 «Протезы конечностей и </w:t>
      </w:r>
      <w:proofErr w:type="spellStart"/>
      <w:r w:rsidRPr="000D6D81">
        <w:rPr>
          <w:rFonts w:eastAsia="ヒラギノ角ゴ Pro W3"/>
          <w:color w:val="000000"/>
        </w:rPr>
        <w:t>ортезы</w:t>
      </w:r>
      <w:proofErr w:type="spellEnd"/>
      <w:r w:rsidRPr="000D6D81">
        <w:rPr>
          <w:rFonts w:eastAsia="ヒラギノ角ゴ Pro W3"/>
          <w:color w:val="000000"/>
        </w:rPr>
        <w:t xml:space="preserve"> наружные. Требования и методы испытаний»;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0D6D81">
        <w:rPr>
          <w:rFonts w:eastAsia="ヒラギノ角ゴ Pro W3"/>
          <w:color w:val="000000"/>
        </w:rPr>
        <w:t xml:space="preserve">ГОСТ Р ИСО 13405-2-2001 «Протезирование и </w:t>
      </w:r>
      <w:proofErr w:type="spellStart"/>
      <w:r w:rsidRPr="000D6D81">
        <w:rPr>
          <w:rFonts w:eastAsia="ヒラギノ角ゴ Pro W3"/>
          <w:color w:val="000000"/>
        </w:rPr>
        <w:t>ортезирование</w:t>
      </w:r>
      <w:proofErr w:type="spellEnd"/>
      <w:r w:rsidRPr="000D6D81">
        <w:rPr>
          <w:rFonts w:eastAsia="ヒラギノ角ゴ Pro W3"/>
          <w:color w:val="000000"/>
        </w:rPr>
        <w:t>. Классификация и описание узлов протезов. Часть 2. Описание узлов протезов нижних конечностей»;</w:t>
      </w:r>
    </w:p>
    <w:p w:rsidR="001103ED" w:rsidRPr="00FF2B78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0D6D81">
        <w:rPr>
          <w:rFonts w:eastAsia="ヒラギノ角ゴ Pro W3"/>
          <w:color w:val="000000"/>
        </w:rPr>
        <w:t xml:space="preserve">ГОСТ Р 51191-2007 «Узлы протезов нижних конечностей. Технические </w:t>
      </w:r>
      <w:r w:rsidRPr="00FF2B78">
        <w:rPr>
          <w:rFonts w:eastAsia="ヒラギノ角ゴ Pro W3"/>
          <w:color w:val="000000"/>
        </w:rPr>
        <w:t>требования и методы испытаний».</w:t>
      </w:r>
    </w:p>
    <w:p w:rsidR="001103ED" w:rsidRPr="00FF2B78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FF2B78">
        <w:rPr>
          <w:rFonts w:eastAsia="ヒラギノ角ゴ Pro W3"/>
          <w:color w:val="000000"/>
        </w:rPr>
        <w:t>Материалы, полуфабрикаты для изготовления ПОИ соответствуют требованиям действующих стандартов и технических условий.</w:t>
      </w:r>
    </w:p>
    <w:p w:rsidR="001103ED" w:rsidRPr="00FF2B78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FF2B78">
        <w:rPr>
          <w:rFonts w:eastAsia="ヒラギノ角ゴ Pro W3"/>
          <w:color w:val="000000"/>
        </w:rPr>
        <w:t xml:space="preserve">Выполнение работ соответствует назначениям медико-социальной экспертизы. </w:t>
      </w:r>
    </w:p>
    <w:p w:rsidR="001103ED" w:rsidRPr="000D6D81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FF2B78">
        <w:rPr>
          <w:rFonts w:eastAsia="ヒラギノ角ゴ Pro W3"/>
          <w:color w:val="000000"/>
        </w:rPr>
        <w:t>При выполнении работ осуществляется контроль при примерке и обеспечении ПОИ. Получатель при ношении не должен испытывать болей, избыточного давления, обуславливающих нарушени</w:t>
      </w:r>
      <w:r w:rsidR="0098614B" w:rsidRPr="00FF2B78">
        <w:rPr>
          <w:rFonts w:eastAsia="ヒラギノ角ゴ Pro W3"/>
          <w:color w:val="000000"/>
        </w:rPr>
        <w:t>е</w:t>
      </w:r>
      <w:r w:rsidRPr="00FF2B78">
        <w:rPr>
          <w:rFonts w:eastAsia="ヒラギノ角ゴ Pro W3"/>
          <w:color w:val="000000"/>
        </w:rPr>
        <w:t xml:space="preserve"> кровообращения</w:t>
      </w:r>
      <w:r w:rsidRPr="000D6D81">
        <w:rPr>
          <w:rFonts w:eastAsia="ヒラギノ角ゴ Pro W3"/>
          <w:color w:val="000000"/>
        </w:rPr>
        <w:t>. ПОИ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1103ED" w:rsidRDefault="001103ED" w:rsidP="001103ED">
      <w:pPr>
        <w:suppressAutoHyphens/>
        <w:autoSpaceDE w:val="0"/>
        <w:ind w:firstLine="709"/>
        <w:jc w:val="both"/>
        <w:rPr>
          <w:lang w:eastAsia="ar-SA"/>
        </w:rPr>
      </w:pPr>
    </w:p>
    <w:p w:rsidR="001103ED" w:rsidRPr="00357CF5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ind w:left="720"/>
        <w:rPr>
          <w:rFonts w:eastAsia="ヒラギノ角ゴ Pro W3"/>
          <w:b/>
          <w:color w:val="000000"/>
        </w:rPr>
      </w:pPr>
      <w:r w:rsidRPr="00357CF5">
        <w:rPr>
          <w:rFonts w:eastAsia="ヒラギノ角ゴ Pro W3"/>
          <w:b/>
          <w:color w:val="000000"/>
        </w:rPr>
        <w:t>Требования к техническим и функциональным характеристикам</w:t>
      </w:r>
    </w:p>
    <w:p w:rsidR="001103ED" w:rsidRPr="00357CF5" w:rsidRDefault="001103ED" w:rsidP="001103ED">
      <w:pPr>
        <w:ind w:firstLine="709"/>
        <w:jc w:val="both"/>
        <w:rPr>
          <w:lang w:eastAsia="en-US"/>
        </w:rPr>
      </w:pPr>
      <w:r w:rsidRPr="00357CF5">
        <w:rPr>
          <w:lang w:eastAsia="en-US"/>
        </w:rPr>
        <w:t>Выполняемые работы содержат комплекс медицинских, технических и социальных мероприятий, проводимых с получателями в целях восстановления и компенсации ограничений их жизнедеятельности. 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устранение косметических дефектов конечностей получателя с помощью ПОИ.</w:t>
      </w:r>
    </w:p>
    <w:p w:rsidR="001103ED" w:rsidRPr="00357CF5" w:rsidRDefault="001103ED" w:rsidP="001103ED">
      <w:pPr>
        <w:ind w:firstLine="709"/>
        <w:jc w:val="both"/>
        <w:rPr>
          <w:lang w:eastAsia="en-US"/>
        </w:rPr>
      </w:pPr>
      <w:r w:rsidRPr="00357CF5">
        <w:rPr>
          <w:lang w:eastAsia="en-US"/>
        </w:rPr>
        <w:t>Приемная гильза протезов конечности изготавлива</w:t>
      </w:r>
      <w:r>
        <w:rPr>
          <w:lang w:eastAsia="en-US"/>
        </w:rPr>
        <w:t>ется</w:t>
      </w:r>
      <w:r w:rsidRPr="00357CF5">
        <w:rPr>
          <w:lang w:eastAsia="en-US"/>
        </w:rPr>
        <w:t xml:space="preserve"> по индивидуальному параметру получателя и предназначается для размещения в ней культи или пораженной конечности, обеспечивая взаимодействие человека с протезом конечности. Функциональный узел протеза конечности выполня</w:t>
      </w:r>
      <w:r>
        <w:rPr>
          <w:lang w:eastAsia="en-US"/>
        </w:rPr>
        <w:t>е</w:t>
      </w:r>
      <w:r w:rsidRPr="00357CF5">
        <w:rPr>
          <w:lang w:eastAsia="en-US"/>
        </w:rPr>
        <w:t>т заданную функцию и име</w:t>
      </w:r>
      <w:r>
        <w:rPr>
          <w:lang w:eastAsia="en-US"/>
        </w:rPr>
        <w:t>е</w:t>
      </w:r>
      <w:r w:rsidRPr="00357CF5">
        <w:rPr>
          <w:lang w:eastAsia="en-US"/>
        </w:rPr>
        <w:t xml:space="preserve">т конструктивно-технологическую завершенность. ПОИ </w:t>
      </w:r>
      <w:r w:rsidRPr="00357CF5">
        <w:rPr>
          <w:lang w:eastAsia="en-US"/>
        </w:rPr>
        <w:lastRenderedPageBreak/>
        <w:t>укомплектованы всеми изделиями, обеспечивающими возможность их ношения получателем.</w:t>
      </w:r>
    </w:p>
    <w:p w:rsidR="001103ED" w:rsidRPr="007C37DB" w:rsidRDefault="001103ED" w:rsidP="001103ED">
      <w:pPr>
        <w:ind w:firstLine="709"/>
        <w:jc w:val="both"/>
        <w:rPr>
          <w:lang w:eastAsia="en-US"/>
        </w:rPr>
      </w:pPr>
      <w:r w:rsidRPr="00357CF5">
        <w:rPr>
          <w:lang w:eastAsia="en-US"/>
        </w:rPr>
        <w:t>При</w:t>
      </w:r>
      <w:r w:rsidRPr="007C37DB">
        <w:rPr>
          <w:lang w:eastAsia="en-US"/>
        </w:rPr>
        <w:t xml:space="preserve"> изготовлении изделий учитываются индивидуальные особенности получателя.</w:t>
      </w:r>
    </w:p>
    <w:p w:rsidR="001103ED" w:rsidRDefault="001103ED" w:rsidP="001103ED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jc w:val="center"/>
        <w:rPr>
          <w:rFonts w:ascii="Times New Roman" w:hAnsi="Times New Roman"/>
          <w:b/>
          <w:szCs w:val="24"/>
        </w:rPr>
      </w:pPr>
      <w:r w:rsidRPr="00902C66">
        <w:rPr>
          <w:rFonts w:ascii="Times New Roman" w:hAnsi="Times New Roman"/>
          <w:b/>
          <w:szCs w:val="24"/>
        </w:rPr>
        <w:t>Требования к маркировке, упаковке и транспортировке изделий</w:t>
      </w:r>
    </w:p>
    <w:p w:rsidR="001103ED" w:rsidRPr="007C37DB" w:rsidRDefault="001103ED" w:rsidP="001103E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rFonts w:eastAsia="ヒラギノ角ゴ Pro W3"/>
          <w:color w:val="000000"/>
        </w:rPr>
      </w:pPr>
      <w:r w:rsidRPr="007C37DB">
        <w:rPr>
          <w:rFonts w:eastAsia="ヒラギノ角ゴ Pro W3"/>
          <w:color w:val="000000"/>
        </w:rPr>
        <w:t>Маркировка изделий в зависимости от их вида, а также их упаковка, хранение и транспортировка осуществля</w:t>
      </w:r>
      <w:r>
        <w:rPr>
          <w:rFonts w:eastAsia="ヒラギノ角ゴ Pro W3"/>
          <w:color w:val="000000"/>
        </w:rPr>
        <w:t>е</w:t>
      </w:r>
      <w:r w:rsidRPr="007C37DB">
        <w:rPr>
          <w:rFonts w:eastAsia="ヒラギノ角ゴ Pro W3"/>
          <w:color w:val="000000"/>
        </w:rPr>
        <w:t xml:space="preserve">тся с соблюдением требований ГОСТ Р ИСО 22523-2007 «Протезы конечностей и </w:t>
      </w:r>
      <w:proofErr w:type="spellStart"/>
      <w:r w:rsidRPr="007C37DB">
        <w:rPr>
          <w:rFonts w:eastAsia="ヒラギノ角ゴ Pro W3"/>
          <w:color w:val="000000"/>
        </w:rPr>
        <w:t>ортезы</w:t>
      </w:r>
      <w:proofErr w:type="spellEnd"/>
      <w:r w:rsidRPr="007C37DB">
        <w:rPr>
          <w:rFonts w:eastAsia="ヒラギノ角ゴ Pro W3"/>
          <w:color w:val="000000"/>
        </w:rPr>
        <w:t xml:space="preserve"> наружные. Требования и методы испытаний» 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103ED" w:rsidRPr="007C37DB" w:rsidRDefault="001103ED" w:rsidP="001103ED">
      <w:pPr>
        <w:ind w:firstLine="708"/>
        <w:jc w:val="both"/>
        <w:rPr>
          <w:rFonts w:eastAsia="ヒラギノ角ゴ Pro W3"/>
          <w:color w:val="000000"/>
        </w:rPr>
      </w:pPr>
      <w:r w:rsidRPr="007C37DB">
        <w:rPr>
          <w:rFonts w:eastAsia="ヒラギノ角ゴ Pro W3"/>
          <w:color w:val="000000"/>
        </w:rPr>
        <w:t>Упаковка изделий обеспечива</w:t>
      </w:r>
      <w:r>
        <w:rPr>
          <w:rFonts w:eastAsia="ヒラギノ角ゴ Pro W3"/>
          <w:color w:val="000000"/>
        </w:rPr>
        <w:t>е</w:t>
      </w:r>
      <w:r w:rsidRPr="007C37DB">
        <w:rPr>
          <w:rFonts w:eastAsia="ヒラギノ角ゴ Pro W3"/>
          <w:color w:val="000000"/>
        </w:rPr>
        <w:t xml:space="preserve">т их защиту от повреждений, порчи (изнашивания), загрязнения, а также от воздействия механических и климатических факторов во время хранения и транспортирования. </w:t>
      </w:r>
    </w:p>
    <w:p w:rsidR="001103ED" w:rsidRPr="007C37DB" w:rsidRDefault="001103ED" w:rsidP="001103ED">
      <w:pPr>
        <w:ind w:firstLine="708"/>
        <w:jc w:val="both"/>
        <w:rPr>
          <w:rFonts w:eastAsia="ヒラギノ角ゴ Pro W3"/>
          <w:color w:val="000000"/>
        </w:rPr>
      </w:pPr>
      <w:r w:rsidRPr="007C37DB">
        <w:rPr>
          <w:rFonts w:eastAsia="ヒラギノ角ゴ Pro W3"/>
          <w:color w:val="000000"/>
        </w:rPr>
        <w:t>Транспортировка осуществля</w:t>
      </w:r>
      <w:r>
        <w:rPr>
          <w:rFonts w:eastAsia="ヒラギノ角ゴ Pro W3"/>
          <w:color w:val="000000"/>
        </w:rPr>
        <w:t>е</w:t>
      </w:r>
      <w:r w:rsidRPr="007C37DB">
        <w:rPr>
          <w:rFonts w:eastAsia="ヒラギノ角ゴ Pro W3"/>
          <w:color w:val="000000"/>
        </w:rPr>
        <w:t>тся любым видом крытого транспорта, обеспечивающим защиту изделий от климатических воздействий и механических факторов в соответствии с правилами перевозки грузов, действующими на данном виде транспорта.</w:t>
      </w:r>
    </w:p>
    <w:p w:rsidR="001103ED" w:rsidRPr="007C37DB" w:rsidRDefault="001103ED" w:rsidP="001103ED">
      <w:pPr>
        <w:ind w:firstLine="708"/>
        <w:jc w:val="both"/>
        <w:rPr>
          <w:rFonts w:eastAsia="ヒラギノ角ゴ Pro W3"/>
          <w:color w:val="000000"/>
        </w:rPr>
      </w:pPr>
      <w:r w:rsidRPr="007C37DB">
        <w:rPr>
          <w:rFonts w:eastAsia="ヒラギノ角ゴ Pro W3"/>
          <w:color w:val="000000"/>
        </w:rPr>
        <w:t>Хранение осуществля</w:t>
      </w:r>
      <w:r>
        <w:rPr>
          <w:rFonts w:eastAsia="ヒラギノ角ゴ Pro W3"/>
          <w:color w:val="000000"/>
        </w:rPr>
        <w:t>е</w:t>
      </w:r>
      <w:r w:rsidRPr="007C37DB">
        <w:rPr>
          <w:rFonts w:eastAsia="ヒラギノ角ゴ Pro W3"/>
          <w:color w:val="000000"/>
        </w:rPr>
        <w:t>тся в соответствии с требованиями, предъявляемыми к данной категории изделий.</w:t>
      </w:r>
    </w:p>
    <w:p w:rsidR="001103ED" w:rsidRDefault="001103ED" w:rsidP="001103ED">
      <w:pPr>
        <w:ind w:firstLine="709"/>
        <w:jc w:val="both"/>
        <w:rPr>
          <w:lang w:eastAsia="en-US"/>
        </w:rPr>
      </w:pPr>
    </w:p>
    <w:p w:rsidR="001103ED" w:rsidRPr="007C37DB" w:rsidRDefault="001103ED" w:rsidP="001103ED">
      <w:pPr>
        <w:ind w:firstLine="709"/>
        <w:jc w:val="both"/>
        <w:rPr>
          <w:lang w:eastAsia="en-US"/>
        </w:rPr>
      </w:pPr>
      <w:r w:rsidRPr="00357CF5">
        <w:rPr>
          <w:lang w:eastAsia="en-US"/>
        </w:rPr>
        <w:t xml:space="preserve">Наименование, количество и требования к отдельным видам изделий указаны в Таблице 1. </w:t>
      </w:r>
    </w:p>
    <w:p w:rsidR="001103ED" w:rsidRDefault="001103ED" w:rsidP="001103ED">
      <w:pPr>
        <w:rPr>
          <w:rFonts w:eastAsia="Calibri"/>
        </w:rPr>
      </w:pPr>
    </w:p>
    <w:p w:rsidR="001103ED" w:rsidRPr="00D637D8" w:rsidRDefault="001103ED" w:rsidP="001103ED">
      <w:pPr>
        <w:rPr>
          <w:rFonts w:eastAsia="Calibri"/>
        </w:rPr>
        <w:sectPr w:rsidR="001103ED" w:rsidRPr="00D637D8" w:rsidSect="00250BF1">
          <w:headerReference w:type="default" r:id="rId8"/>
          <w:pgSz w:w="11907" w:h="16840"/>
          <w:pgMar w:top="425" w:right="851" w:bottom="284" w:left="2268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476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3"/>
        <w:gridCol w:w="709"/>
      </w:tblGrid>
      <w:tr w:rsidR="005E1FCD" w:rsidRPr="00FF2B78" w:rsidTr="005E1FCD">
        <w:trPr>
          <w:trHeight w:val="570"/>
        </w:trPr>
        <w:tc>
          <w:tcPr>
            <w:tcW w:w="567" w:type="dxa"/>
          </w:tcPr>
          <w:p w:rsidR="005E1FCD" w:rsidRPr="00337714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3771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№ п</w:t>
            </w:r>
            <w:r w:rsidRPr="00337714">
              <w:rPr>
                <w:rFonts w:eastAsia="Calibri"/>
                <w:bCs/>
                <w:sz w:val="22"/>
                <w:szCs w:val="22"/>
                <w:lang w:val="en-US" w:eastAsia="en-US"/>
              </w:rPr>
              <w:t>/</w:t>
            </w:r>
            <w:r w:rsidRPr="00337714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418" w:type="dxa"/>
            <w:shd w:val="clear" w:color="auto" w:fill="auto"/>
            <w:hideMark/>
          </w:tcPr>
          <w:p w:rsidR="00D86AEE" w:rsidRPr="00FF2B78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2B7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изделия</w:t>
            </w:r>
            <w:r w:rsidR="00D86AEE" w:rsidRPr="00FF2B78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5E1FCD" w:rsidRPr="00FF2B78" w:rsidRDefault="00D86AEE" w:rsidP="00244D93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2B78">
              <w:rPr>
                <w:rFonts w:eastAsia="Calibri"/>
                <w:bCs/>
                <w:sz w:val="22"/>
                <w:szCs w:val="22"/>
                <w:lang w:eastAsia="en-US" w:bidi="ru-RU"/>
              </w:rPr>
              <w:t>страна производителя</w:t>
            </w:r>
            <w:r w:rsidRPr="00FF2B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5E1FCD" w:rsidRPr="00FF2B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E1FCD" w:rsidRPr="00FF2B78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5E1FCD" w:rsidRPr="00FF2B78" w:rsidRDefault="005E1FCD" w:rsidP="00244D93">
            <w:pPr>
              <w:ind w:firstLine="709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F2B78">
              <w:rPr>
                <w:rFonts w:eastAsia="Calibri"/>
                <w:bCs/>
                <w:sz w:val="22"/>
                <w:szCs w:val="22"/>
                <w:lang w:eastAsia="en-US"/>
              </w:rPr>
              <w:t>Технические и функциональные характеристики</w:t>
            </w:r>
          </w:p>
        </w:tc>
        <w:tc>
          <w:tcPr>
            <w:tcW w:w="709" w:type="dxa"/>
          </w:tcPr>
          <w:p w:rsidR="005E1FCD" w:rsidRPr="00FF2B78" w:rsidRDefault="005E1FCD" w:rsidP="00244D93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FF2B78">
              <w:rPr>
                <w:rFonts w:eastAsia="Calibri"/>
                <w:bCs/>
                <w:sz w:val="22"/>
                <w:szCs w:val="22"/>
                <w:lang w:val="uk-UA" w:eastAsia="en-US"/>
              </w:rPr>
              <w:t>Кол</w:t>
            </w:r>
            <w:proofErr w:type="spellEnd"/>
            <w:r w:rsidRPr="00FF2B78">
              <w:rPr>
                <w:rFonts w:eastAsia="Calibri"/>
                <w:bCs/>
                <w:sz w:val="22"/>
                <w:szCs w:val="22"/>
                <w:lang w:val="uk-UA" w:eastAsia="en-US"/>
              </w:rPr>
              <w:t>-во, шт.</w:t>
            </w:r>
          </w:p>
        </w:tc>
      </w:tr>
      <w:tr w:rsidR="005E1FCD" w:rsidRPr="00FF2B78" w:rsidTr="005E1FCD">
        <w:trPr>
          <w:trHeight w:val="570"/>
        </w:trPr>
        <w:tc>
          <w:tcPr>
            <w:tcW w:w="567" w:type="dxa"/>
          </w:tcPr>
          <w:p w:rsidR="005E1FCD" w:rsidRPr="00521BD7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1FCD" w:rsidRPr="00FF2B78" w:rsidRDefault="005E1FCD" w:rsidP="00244D93">
            <w:pPr>
              <w:suppressAutoHyphens/>
              <w:rPr>
                <w:sz w:val="22"/>
                <w:szCs w:val="22"/>
                <w:lang w:eastAsia="ar-SA"/>
              </w:rPr>
            </w:pPr>
            <w:r w:rsidRPr="00FF2B78">
              <w:rPr>
                <w:sz w:val="22"/>
                <w:szCs w:val="22"/>
                <w:lang w:eastAsia="ar-SA"/>
              </w:rPr>
              <w:t>Протез голени</w:t>
            </w:r>
          </w:p>
          <w:p w:rsidR="005E1FCD" w:rsidRPr="00FF2B78" w:rsidRDefault="005E1FCD" w:rsidP="00244D93">
            <w:pPr>
              <w:suppressAutoHyphens/>
              <w:rPr>
                <w:sz w:val="22"/>
                <w:szCs w:val="22"/>
                <w:lang w:eastAsia="ar-SA"/>
              </w:rPr>
            </w:pPr>
            <w:r w:rsidRPr="00FF2B78">
              <w:rPr>
                <w:sz w:val="22"/>
                <w:szCs w:val="22"/>
                <w:lang w:eastAsia="ar-SA"/>
              </w:rPr>
              <w:t>модульного типа, в том числе при недоразвитии</w:t>
            </w:r>
          </w:p>
          <w:p w:rsidR="005E1FCD" w:rsidRPr="00FF2B78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5E1FCD" w:rsidRPr="00FF2B78" w:rsidRDefault="005E1FCD" w:rsidP="00244D93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FF2B78">
              <w:rPr>
                <w:spacing w:val="-2"/>
                <w:sz w:val="22"/>
                <w:szCs w:val="22"/>
                <w:lang w:eastAsia="ar-SA"/>
              </w:rPr>
              <w:t>Протез голени модульный. Формообразующая часть косметической облицовки – листовой поролон. Косметическое покрытие облицовки – чулки ортопедические перлоновые. Приемная гильза индивидуальная (одна пробная гильза).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Крепление протеза поясное. Регулировочно-соединительное устройство соответствует весу инвалида. Стопа с голеностопным шарниром, подвижным в сагиттальной плоскости, со сменным пяточным амортизатором.</w:t>
            </w:r>
          </w:p>
          <w:p w:rsidR="005E1FCD" w:rsidRPr="00FF2B78" w:rsidRDefault="005E1FCD" w:rsidP="00244D93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2B78">
              <w:rPr>
                <w:b/>
                <w:spacing w:val="-2"/>
                <w:sz w:val="22"/>
                <w:szCs w:val="22"/>
                <w:lang w:eastAsia="ar-SA"/>
              </w:rPr>
              <w:t>Гарантийный срок</w:t>
            </w:r>
            <w:r w:rsidRPr="00FF2B78">
              <w:rPr>
                <w:spacing w:val="-2"/>
                <w:sz w:val="22"/>
                <w:szCs w:val="22"/>
                <w:lang w:eastAsia="ar-SA"/>
              </w:rPr>
              <w:t xml:space="preserve"> не менее 12 (двенадцати) месяцев со дня выдачи готового изделия Получателю.</w:t>
            </w:r>
          </w:p>
        </w:tc>
        <w:tc>
          <w:tcPr>
            <w:tcW w:w="709" w:type="dxa"/>
          </w:tcPr>
          <w:p w:rsidR="005E1FCD" w:rsidRPr="00FF2B78" w:rsidRDefault="005E1FCD" w:rsidP="00244D93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FF2B78">
              <w:rPr>
                <w:rFonts w:eastAsia="Calibri"/>
                <w:bCs/>
                <w:sz w:val="22"/>
                <w:szCs w:val="22"/>
                <w:lang w:val="uk-UA" w:eastAsia="en-US"/>
              </w:rPr>
              <w:t>9</w:t>
            </w:r>
          </w:p>
        </w:tc>
      </w:tr>
      <w:tr w:rsidR="005E1FCD" w:rsidRPr="00FF2B78" w:rsidTr="005E1FCD">
        <w:trPr>
          <w:trHeight w:val="570"/>
        </w:trPr>
        <w:tc>
          <w:tcPr>
            <w:tcW w:w="567" w:type="dxa"/>
            <w:tcBorders>
              <w:bottom w:val="single" w:sz="4" w:space="0" w:color="auto"/>
            </w:tcBorders>
          </w:tcPr>
          <w:p w:rsidR="005E1FCD" w:rsidRDefault="005E1FCD" w:rsidP="00244D9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1FCD" w:rsidRPr="00FF2B78" w:rsidRDefault="005E1FCD" w:rsidP="00244D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F2B78">
              <w:rPr>
                <w:sz w:val="22"/>
                <w:szCs w:val="22"/>
                <w:lang w:eastAsia="ar-SA"/>
              </w:rPr>
              <w:t>Протез голени</w:t>
            </w:r>
          </w:p>
          <w:p w:rsidR="005E1FCD" w:rsidRPr="00FF2B78" w:rsidRDefault="005E1FCD" w:rsidP="00244D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F2B78">
              <w:rPr>
                <w:sz w:val="22"/>
                <w:szCs w:val="22"/>
                <w:lang w:eastAsia="ar-SA"/>
              </w:rPr>
              <w:t xml:space="preserve"> для купания</w:t>
            </w:r>
          </w:p>
          <w:p w:rsidR="005E1FCD" w:rsidRPr="00FF2B78" w:rsidRDefault="005E1FCD" w:rsidP="00244D9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5E1FCD" w:rsidRPr="00FF2B78" w:rsidRDefault="005E1FCD" w:rsidP="00244D93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FF2B78">
              <w:rPr>
                <w:spacing w:val="-2"/>
                <w:sz w:val="22"/>
                <w:szCs w:val="22"/>
                <w:lang w:eastAsia="ar-SA"/>
              </w:rPr>
              <w:t>Протез голени для купания. Приемная гильза – индивидуального изготовления по слепку из листового термопласта, постоянная гильза – из слоистого пластика на основе акриловых смол. Стопа влагостойкая, подошва стопы имеет поверхность с защитой от проскальзывания, позволяющей передвигаться по влажной и скользкой поверхности. Все полуфабрикаты и РСУ из влагозащищенных материалов. Крепление вакуумное, дополнительное крепление с помощью наколенника.</w:t>
            </w:r>
          </w:p>
          <w:p w:rsidR="005E1FCD" w:rsidRPr="00FF2B78" w:rsidRDefault="005E1FCD" w:rsidP="00244D93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FF2B78">
              <w:rPr>
                <w:b/>
                <w:spacing w:val="-2"/>
                <w:sz w:val="22"/>
                <w:szCs w:val="22"/>
                <w:lang w:eastAsia="ar-SA"/>
              </w:rPr>
              <w:t>Гарантийный срок</w:t>
            </w:r>
            <w:r w:rsidRPr="00FF2B78">
              <w:rPr>
                <w:spacing w:val="-2"/>
                <w:sz w:val="22"/>
                <w:szCs w:val="22"/>
                <w:lang w:eastAsia="ar-SA"/>
              </w:rPr>
              <w:t xml:space="preserve"> не менее 12 (двенадцати) месяцев со дня выдачи готового изделия Получателю.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FCD" w:rsidRPr="00FF2B78" w:rsidRDefault="005E1FCD" w:rsidP="00244D93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FF2B78">
              <w:rPr>
                <w:rFonts w:eastAsia="Calibri"/>
                <w:bCs/>
                <w:sz w:val="22"/>
                <w:szCs w:val="22"/>
                <w:lang w:val="uk-UA" w:eastAsia="en-US"/>
              </w:rPr>
              <w:t>4</w:t>
            </w:r>
          </w:p>
        </w:tc>
      </w:tr>
      <w:tr w:rsidR="005E1FCD" w:rsidRPr="00FF2B78" w:rsidTr="005E1FCD">
        <w:trPr>
          <w:trHeight w:val="283"/>
        </w:trPr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:rsidR="005E1FCD" w:rsidRPr="00FF2B78" w:rsidRDefault="005E1FCD" w:rsidP="00244D93">
            <w:pPr>
              <w:ind w:firstLine="709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F2B7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FCD" w:rsidRPr="00FF2B78" w:rsidRDefault="005E1FCD" w:rsidP="00244D9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FF2B78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13</w:t>
            </w:r>
          </w:p>
        </w:tc>
      </w:tr>
    </w:tbl>
    <w:p w:rsidR="001103ED" w:rsidRPr="00F97837" w:rsidRDefault="001103ED" w:rsidP="001103ED">
      <w:pPr>
        <w:suppressAutoHyphens/>
        <w:autoSpaceDE w:val="0"/>
        <w:ind w:firstLine="709"/>
        <w:jc w:val="right"/>
        <w:rPr>
          <w:lang w:eastAsia="ar-SA"/>
        </w:rPr>
      </w:pPr>
      <w:r>
        <w:rPr>
          <w:lang w:eastAsia="ar-SA"/>
        </w:rPr>
        <w:t>Таблица 1</w:t>
      </w:r>
    </w:p>
    <w:p w:rsidR="00902333" w:rsidRPr="00902333" w:rsidRDefault="00902333" w:rsidP="00902333">
      <w:pPr>
        <w:suppressAutoHyphens/>
        <w:ind w:firstLine="567"/>
        <w:jc w:val="both"/>
        <w:rPr>
          <w:lang w:eastAsia="ar-SA"/>
        </w:rPr>
      </w:pPr>
      <w:bookmarkStart w:id="0" w:name="_GoBack"/>
      <w:bookmarkEnd w:id="0"/>
    </w:p>
    <w:sectPr w:rsidR="00902333" w:rsidRPr="00902333" w:rsidSect="00166F42">
      <w:pgSz w:w="11907" w:h="16840"/>
      <w:pgMar w:top="425" w:right="851" w:bottom="284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E1" w:rsidRDefault="002E7CE1" w:rsidP="00F158F4">
      <w:r>
        <w:separator/>
      </w:r>
    </w:p>
  </w:endnote>
  <w:endnote w:type="continuationSeparator" w:id="0">
    <w:p w:rsidR="002E7CE1" w:rsidRDefault="002E7CE1" w:rsidP="00F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E1" w:rsidRDefault="002E7CE1" w:rsidP="00F158F4">
      <w:r>
        <w:separator/>
      </w:r>
    </w:p>
  </w:footnote>
  <w:footnote w:type="continuationSeparator" w:id="0">
    <w:p w:rsidR="002E7CE1" w:rsidRDefault="002E7CE1" w:rsidP="00F1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91904"/>
      <w:docPartObj>
        <w:docPartGallery w:val="Page Numbers (Top of Page)"/>
        <w:docPartUnique/>
      </w:docPartObj>
    </w:sdtPr>
    <w:sdtEndPr/>
    <w:sdtContent>
      <w:p w:rsidR="00244D93" w:rsidRDefault="00244D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F42">
          <w:rPr>
            <w:noProof/>
          </w:rPr>
          <w:t>3</w:t>
        </w:r>
        <w:r>
          <w:fldChar w:fldCharType="end"/>
        </w:r>
      </w:p>
    </w:sdtContent>
  </w:sdt>
  <w:p w:rsidR="00244D93" w:rsidRDefault="00244D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C7211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1D3BA0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AE5458"/>
    <w:multiLevelType w:val="multilevel"/>
    <w:tmpl w:val="EC587918"/>
    <w:lvl w:ilvl="0">
      <w:start w:val="6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>
    <w:nsid w:val="4F1E6A97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003949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B6481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552467"/>
    <w:multiLevelType w:val="multilevel"/>
    <w:tmpl w:val="8676D46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677" w:hanging="540"/>
      </w:pPr>
    </w:lvl>
    <w:lvl w:ilvl="2">
      <w:start w:val="2"/>
      <w:numFmt w:val="decimal"/>
      <w:lvlText w:val="%1.%2.%3."/>
      <w:lvlJc w:val="left"/>
      <w:pPr>
        <w:ind w:left="994" w:hanging="720"/>
      </w:pPr>
    </w:lvl>
    <w:lvl w:ilvl="3">
      <w:start w:val="1"/>
      <w:numFmt w:val="decimal"/>
      <w:lvlText w:val="%1.%2.%3.%4."/>
      <w:lvlJc w:val="left"/>
      <w:pPr>
        <w:ind w:left="1131" w:hanging="720"/>
      </w:pPr>
    </w:lvl>
    <w:lvl w:ilvl="4">
      <w:start w:val="1"/>
      <w:numFmt w:val="decimal"/>
      <w:lvlText w:val="%1.%2.%3.%4.%5."/>
      <w:lvlJc w:val="left"/>
      <w:pPr>
        <w:ind w:left="1628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99" w:hanging="1440"/>
      </w:pPr>
    </w:lvl>
    <w:lvl w:ilvl="8">
      <w:start w:val="1"/>
      <w:numFmt w:val="decimal"/>
      <w:lvlText w:val="%1.%2.%3.%4.%5.%6.%7.%8.%9."/>
      <w:lvlJc w:val="left"/>
      <w:pPr>
        <w:ind w:left="2896" w:hanging="1800"/>
      </w:pPr>
    </w:lvl>
  </w:abstractNum>
  <w:abstractNum w:abstractNumId="21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67964003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26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805A71"/>
    <w:multiLevelType w:val="multilevel"/>
    <w:tmpl w:val="B750FF6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3B65A72"/>
    <w:multiLevelType w:val="hybridMultilevel"/>
    <w:tmpl w:val="15F227F6"/>
    <w:lvl w:ilvl="0" w:tplc="C8E4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B61FB"/>
    <w:multiLevelType w:val="hybridMultilevel"/>
    <w:tmpl w:val="0042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31"/>
  </w:num>
  <w:num w:numId="6">
    <w:abstractNumId w:val="10"/>
  </w:num>
  <w:num w:numId="7">
    <w:abstractNumId w:val="7"/>
  </w:num>
  <w:num w:numId="8">
    <w:abstractNumId w:val="32"/>
  </w:num>
  <w:num w:numId="9">
    <w:abstractNumId w:val="14"/>
  </w:num>
  <w:num w:numId="10">
    <w:abstractNumId w:val="33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28"/>
  </w:num>
  <w:num w:numId="16">
    <w:abstractNumId w:val="27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25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11"/>
  </w:num>
  <w:num w:numId="27">
    <w:abstractNumId w:val="24"/>
  </w:num>
  <w:num w:numId="2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6"/>
  </w:num>
  <w:num w:numId="32">
    <w:abstractNumId w:val="13"/>
  </w:num>
  <w:num w:numId="33">
    <w:abstractNumId w:val="18"/>
  </w:num>
  <w:num w:numId="34">
    <w:abstractNumId w:val="10"/>
  </w:num>
  <w:num w:numId="3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6"/>
    <w:rsid w:val="000022C5"/>
    <w:rsid w:val="00003C96"/>
    <w:rsid w:val="00004AA2"/>
    <w:rsid w:val="00012474"/>
    <w:rsid w:val="00013F29"/>
    <w:rsid w:val="00014E5B"/>
    <w:rsid w:val="0001699E"/>
    <w:rsid w:val="0001794F"/>
    <w:rsid w:val="00026685"/>
    <w:rsid w:val="000268D1"/>
    <w:rsid w:val="00031D2C"/>
    <w:rsid w:val="00034EA7"/>
    <w:rsid w:val="00036D16"/>
    <w:rsid w:val="00037063"/>
    <w:rsid w:val="00037139"/>
    <w:rsid w:val="0003768B"/>
    <w:rsid w:val="00037AA0"/>
    <w:rsid w:val="00042BCC"/>
    <w:rsid w:val="000431B5"/>
    <w:rsid w:val="0004395B"/>
    <w:rsid w:val="00043D7F"/>
    <w:rsid w:val="000520EA"/>
    <w:rsid w:val="0005254A"/>
    <w:rsid w:val="00052752"/>
    <w:rsid w:val="00053A3F"/>
    <w:rsid w:val="00053AF3"/>
    <w:rsid w:val="00054552"/>
    <w:rsid w:val="00055BDB"/>
    <w:rsid w:val="0005719A"/>
    <w:rsid w:val="000619C3"/>
    <w:rsid w:val="000627CD"/>
    <w:rsid w:val="000642FB"/>
    <w:rsid w:val="00067ABD"/>
    <w:rsid w:val="00073811"/>
    <w:rsid w:val="0008055E"/>
    <w:rsid w:val="000807B2"/>
    <w:rsid w:val="00081860"/>
    <w:rsid w:val="00087B29"/>
    <w:rsid w:val="00091345"/>
    <w:rsid w:val="00093A01"/>
    <w:rsid w:val="000A2E19"/>
    <w:rsid w:val="000B2495"/>
    <w:rsid w:val="000B4E9C"/>
    <w:rsid w:val="000B66AA"/>
    <w:rsid w:val="000C27EA"/>
    <w:rsid w:val="000C3451"/>
    <w:rsid w:val="000D198D"/>
    <w:rsid w:val="000D6D81"/>
    <w:rsid w:val="000E358A"/>
    <w:rsid w:val="000E4943"/>
    <w:rsid w:val="000E5BD8"/>
    <w:rsid w:val="000F4E0B"/>
    <w:rsid w:val="000F7C06"/>
    <w:rsid w:val="001061D4"/>
    <w:rsid w:val="001079D7"/>
    <w:rsid w:val="001103ED"/>
    <w:rsid w:val="00110727"/>
    <w:rsid w:val="0011345A"/>
    <w:rsid w:val="00116064"/>
    <w:rsid w:val="00120704"/>
    <w:rsid w:val="00122B97"/>
    <w:rsid w:val="00124865"/>
    <w:rsid w:val="00126F7F"/>
    <w:rsid w:val="00127079"/>
    <w:rsid w:val="001312F1"/>
    <w:rsid w:val="0014611E"/>
    <w:rsid w:val="00147D1B"/>
    <w:rsid w:val="00152C7A"/>
    <w:rsid w:val="0015329D"/>
    <w:rsid w:val="00155DFA"/>
    <w:rsid w:val="00163B4F"/>
    <w:rsid w:val="00164436"/>
    <w:rsid w:val="00166800"/>
    <w:rsid w:val="00166F42"/>
    <w:rsid w:val="0016793E"/>
    <w:rsid w:val="00171B12"/>
    <w:rsid w:val="00173681"/>
    <w:rsid w:val="00174A81"/>
    <w:rsid w:val="00182600"/>
    <w:rsid w:val="001838C6"/>
    <w:rsid w:val="00184199"/>
    <w:rsid w:val="001900B6"/>
    <w:rsid w:val="00191265"/>
    <w:rsid w:val="001962B3"/>
    <w:rsid w:val="00196BBC"/>
    <w:rsid w:val="001A1726"/>
    <w:rsid w:val="001A59D2"/>
    <w:rsid w:val="001B067D"/>
    <w:rsid w:val="001B2C68"/>
    <w:rsid w:val="001B33B2"/>
    <w:rsid w:val="001B3A83"/>
    <w:rsid w:val="001B58CA"/>
    <w:rsid w:val="001B6880"/>
    <w:rsid w:val="001C1F7C"/>
    <w:rsid w:val="001C703B"/>
    <w:rsid w:val="001D154F"/>
    <w:rsid w:val="001D2E5C"/>
    <w:rsid w:val="001D305B"/>
    <w:rsid w:val="001D4C44"/>
    <w:rsid w:val="001D51FC"/>
    <w:rsid w:val="001D798A"/>
    <w:rsid w:val="001E1D9C"/>
    <w:rsid w:val="001E1F1B"/>
    <w:rsid w:val="001E7457"/>
    <w:rsid w:val="001E7A56"/>
    <w:rsid w:val="001F108B"/>
    <w:rsid w:val="00200E91"/>
    <w:rsid w:val="00202552"/>
    <w:rsid w:val="00203D8F"/>
    <w:rsid w:val="00205B59"/>
    <w:rsid w:val="002127AB"/>
    <w:rsid w:val="002153DB"/>
    <w:rsid w:val="00232DA7"/>
    <w:rsid w:val="00233DD3"/>
    <w:rsid w:val="00244D93"/>
    <w:rsid w:val="00246861"/>
    <w:rsid w:val="00250BF1"/>
    <w:rsid w:val="002510BB"/>
    <w:rsid w:val="0026122E"/>
    <w:rsid w:val="00265CF3"/>
    <w:rsid w:val="002661AB"/>
    <w:rsid w:val="00267CBD"/>
    <w:rsid w:val="00270865"/>
    <w:rsid w:val="002731E1"/>
    <w:rsid w:val="0027601F"/>
    <w:rsid w:val="00283A29"/>
    <w:rsid w:val="002840ED"/>
    <w:rsid w:val="00285380"/>
    <w:rsid w:val="00290200"/>
    <w:rsid w:val="00291D46"/>
    <w:rsid w:val="002923A0"/>
    <w:rsid w:val="002933D7"/>
    <w:rsid w:val="00293F59"/>
    <w:rsid w:val="00294067"/>
    <w:rsid w:val="002978A4"/>
    <w:rsid w:val="002A0BD3"/>
    <w:rsid w:val="002A664E"/>
    <w:rsid w:val="002B2D95"/>
    <w:rsid w:val="002B3FDE"/>
    <w:rsid w:val="002B66AB"/>
    <w:rsid w:val="002C081B"/>
    <w:rsid w:val="002D2696"/>
    <w:rsid w:val="002D38AA"/>
    <w:rsid w:val="002E1A6C"/>
    <w:rsid w:val="002E23C5"/>
    <w:rsid w:val="002E3C87"/>
    <w:rsid w:val="002E3DE8"/>
    <w:rsid w:val="002E5AB4"/>
    <w:rsid w:val="002E7CE1"/>
    <w:rsid w:val="002F4E87"/>
    <w:rsid w:val="003012B0"/>
    <w:rsid w:val="0030354D"/>
    <w:rsid w:val="0030743D"/>
    <w:rsid w:val="003075F8"/>
    <w:rsid w:val="00307BF0"/>
    <w:rsid w:val="00315F80"/>
    <w:rsid w:val="00317642"/>
    <w:rsid w:val="003218EE"/>
    <w:rsid w:val="00323306"/>
    <w:rsid w:val="00323FB6"/>
    <w:rsid w:val="003252BF"/>
    <w:rsid w:val="00330770"/>
    <w:rsid w:val="00330AA4"/>
    <w:rsid w:val="00330C61"/>
    <w:rsid w:val="0033111A"/>
    <w:rsid w:val="0033368A"/>
    <w:rsid w:val="00333E28"/>
    <w:rsid w:val="00334AE2"/>
    <w:rsid w:val="00335E55"/>
    <w:rsid w:val="003365A8"/>
    <w:rsid w:val="00336911"/>
    <w:rsid w:val="00336A15"/>
    <w:rsid w:val="00337714"/>
    <w:rsid w:val="00343E6C"/>
    <w:rsid w:val="003502D1"/>
    <w:rsid w:val="0035430A"/>
    <w:rsid w:val="00354DF8"/>
    <w:rsid w:val="00355C12"/>
    <w:rsid w:val="00357597"/>
    <w:rsid w:val="00357CF5"/>
    <w:rsid w:val="00357D38"/>
    <w:rsid w:val="00360346"/>
    <w:rsid w:val="00362BEE"/>
    <w:rsid w:val="003633B3"/>
    <w:rsid w:val="0036546F"/>
    <w:rsid w:val="00366DD6"/>
    <w:rsid w:val="00376D36"/>
    <w:rsid w:val="00381278"/>
    <w:rsid w:val="00384E2E"/>
    <w:rsid w:val="00392AE4"/>
    <w:rsid w:val="003933AE"/>
    <w:rsid w:val="003941BF"/>
    <w:rsid w:val="00397707"/>
    <w:rsid w:val="00397DE9"/>
    <w:rsid w:val="003A41FB"/>
    <w:rsid w:val="003A7163"/>
    <w:rsid w:val="003A722D"/>
    <w:rsid w:val="003B37BA"/>
    <w:rsid w:val="003B3956"/>
    <w:rsid w:val="003B7378"/>
    <w:rsid w:val="003C413E"/>
    <w:rsid w:val="003C4B33"/>
    <w:rsid w:val="003C61E2"/>
    <w:rsid w:val="003D393F"/>
    <w:rsid w:val="003D3E95"/>
    <w:rsid w:val="003D53DD"/>
    <w:rsid w:val="003D787A"/>
    <w:rsid w:val="003E4BA3"/>
    <w:rsid w:val="003F3082"/>
    <w:rsid w:val="003F3107"/>
    <w:rsid w:val="003F5488"/>
    <w:rsid w:val="004010AD"/>
    <w:rsid w:val="00401F83"/>
    <w:rsid w:val="00405377"/>
    <w:rsid w:val="00407258"/>
    <w:rsid w:val="0041004A"/>
    <w:rsid w:val="004118A8"/>
    <w:rsid w:val="00415482"/>
    <w:rsid w:val="00424EB7"/>
    <w:rsid w:val="0042679F"/>
    <w:rsid w:val="00436518"/>
    <w:rsid w:val="004455D9"/>
    <w:rsid w:val="004455ED"/>
    <w:rsid w:val="00447876"/>
    <w:rsid w:val="00450349"/>
    <w:rsid w:val="0045055B"/>
    <w:rsid w:val="00450D32"/>
    <w:rsid w:val="004511C3"/>
    <w:rsid w:val="00451FC7"/>
    <w:rsid w:val="00453AE8"/>
    <w:rsid w:val="00456325"/>
    <w:rsid w:val="00457687"/>
    <w:rsid w:val="0046002F"/>
    <w:rsid w:val="00460187"/>
    <w:rsid w:val="004616E3"/>
    <w:rsid w:val="00462D81"/>
    <w:rsid w:val="0046533E"/>
    <w:rsid w:val="00465D4C"/>
    <w:rsid w:val="00472A79"/>
    <w:rsid w:val="004743EE"/>
    <w:rsid w:val="00476256"/>
    <w:rsid w:val="004776B6"/>
    <w:rsid w:val="0049561C"/>
    <w:rsid w:val="00496AF3"/>
    <w:rsid w:val="004A1652"/>
    <w:rsid w:val="004A1DC3"/>
    <w:rsid w:val="004A44CE"/>
    <w:rsid w:val="004A63CE"/>
    <w:rsid w:val="004B1826"/>
    <w:rsid w:val="004B196C"/>
    <w:rsid w:val="004B2395"/>
    <w:rsid w:val="004B4725"/>
    <w:rsid w:val="004C258E"/>
    <w:rsid w:val="004C3919"/>
    <w:rsid w:val="004C6AFE"/>
    <w:rsid w:val="004C702C"/>
    <w:rsid w:val="004D2CA1"/>
    <w:rsid w:val="004D37C5"/>
    <w:rsid w:val="004D3F5D"/>
    <w:rsid w:val="004D42B1"/>
    <w:rsid w:val="004D6122"/>
    <w:rsid w:val="004D7198"/>
    <w:rsid w:val="004E196D"/>
    <w:rsid w:val="004E1CE2"/>
    <w:rsid w:val="004E524A"/>
    <w:rsid w:val="004E671F"/>
    <w:rsid w:val="004E7CD2"/>
    <w:rsid w:val="004F0D6F"/>
    <w:rsid w:val="004F339D"/>
    <w:rsid w:val="004F3D7F"/>
    <w:rsid w:val="004F6A29"/>
    <w:rsid w:val="00502C6A"/>
    <w:rsid w:val="005062CA"/>
    <w:rsid w:val="00506407"/>
    <w:rsid w:val="00512362"/>
    <w:rsid w:val="00512E17"/>
    <w:rsid w:val="00512FD6"/>
    <w:rsid w:val="00514EFA"/>
    <w:rsid w:val="005159FA"/>
    <w:rsid w:val="005169C4"/>
    <w:rsid w:val="00516B52"/>
    <w:rsid w:val="0052349A"/>
    <w:rsid w:val="005255C2"/>
    <w:rsid w:val="0052691D"/>
    <w:rsid w:val="00526A90"/>
    <w:rsid w:val="00526C1B"/>
    <w:rsid w:val="005308E8"/>
    <w:rsid w:val="00530BBB"/>
    <w:rsid w:val="00531E73"/>
    <w:rsid w:val="0053327C"/>
    <w:rsid w:val="0053481D"/>
    <w:rsid w:val="005378DD"/>
    <w:rsid w:val="005426A5"/>
    <w:rsid w:val="00543830"/>
    <w:rsid w:val="00550D6A"/>
    <w:rsid w:val="00553437"/>
    <w:rsid w:val="00555D6C"/>
    <w:rsid w:val="00556A75"/>
    <w:rsid w:val="005617D8"/>
    <w:rsid w:val="005630E7"/>
    <w:rsid w:val="00563143"/>
    <w:rsid w:val="00563572"/>
    <w:rsid w:val="00570970"/>
    <w:rsid w:val="00572658"/>
    <w:rsid w:val="0057538A"/>
    <w:rsid w:val="005811C6"/>
    <w:rsid w:val="00581980"/>
    <w:rsid w:val="00581D8B"/>
    <w:rsid w:val="0058596F"/>
    <w:rsid w:val="00591A98"/>
    <w:rsid w:val="00591C09"/>
    <w:rsid w:val="00591C91"/>
    <w:rsid w:val="00592A87"/>
    <w:rsid w:val="00592BA8"/>
    <w:rsid w:val="00592CEF"/>
    <w:rsid w:val="0059724C"/>
    <w:rsid w:val="005A17C3"/>
    <w:rsid w:val="005A4697"/>
    <w:rsid w:val="005A4A16"/>
    <w:rsid w:val="005A56B2"/>
    <w:rsid w:val="005B1E28"/>
    <w:rsid w:val="005B64AF"/>
    <w:rsid w:val="005C264C"/>
    <w:rsid w:val="005C64AB"/>
    <w:rsid w:val="005C7E46"/>
    <w:rsid w:val="005D1C13"/>
    <w:rsid w:val="005D2443"/>
    <w:rsid w:val="005D4671"/>
    <w:rsid w:val="005D5CC3"/>
    <w:rsid w:val="005D6AA3"/>
    <w:rsid w:val="005D767B"/>
    <w:rsid w:val="005D781D"/>
    <w:rsid w:val="005D7E38"/>
    <w:rsid w:val="005E1FCD"/>
    <w:rsid w:val="005E47B7"/>
    <w:rsid w:val="005E64DD"/>
    <w:rsid w:val="005E6A5C"/>
    <w:rsid w:val="005F0FAF"/>
    <w:rsid w:val="005F1ED0"/>
    <w:rsid w:val="005F33BF"/>
    <w:rsid w:val="00602A40"/>
    <w:rsid w:val="0060639D"/>
    <w:rsid w:val="00607AFC"/>
    <w:rsid w:val="00616699"/>
    <w:rsid w:val="006201D5"/>
    <w:rsid w:val="00631096"/>
    <w:rsid w:val="00631E37"/>
    <w:rsid w:val="00641F3D"/>
    <w:rsid w:val="00652287"/>
    <w:rsid w:val="00652F44"/>
    <w:rsid w:val="006531BC"/>
    <w:rsid w:val="00655ACC"/>
    <w:rsid w:val="00663537"/>
    <w:rsid w:val="00672133"/>
    <w:rsid w:val="0067390C"/>
    <w:rsid w:val="006805E7"/>
    <w:rsid w:val="006819AF"/>
    <w:rsid w:val="006822FF"/>
    <w:rsid w:val="006858F2"/>
    <w:rsid w:val="006861BE"/>
    <w:rsid w:val="00687B2E"/>
    <w:rsid w:val="00691E4B"/>
    <w:rsid w:val="006A0837"/>
    <w:rsid w:val="006A09E6"/>
    <w:rsid w:val="006A7B6D"/>
    <w:rsid w:val="006B4AE0"/>
    <w:rsid w:val="006C3C82"/>
    <w:rsid w:val="006D1AD3"/>
    <w:rsid w:val="006D7FCD"/>
    <w:rsid w:val="006E00BB"/>
    <w:rsid w:val="006E034D"/>
    <w:rsid w:val="006E2433"/>
    <w:rsid w:val="006E2663"/>
    <w:rsid w:val="006E327D"/>
    <w:rsid w:val="006E40D7"/>
    <w:rsid w:val="006E7EE6"/>
    <w:rsid w:val="006F305B"/>
    <w:rsid w:val="006F3F4A"/>
    <w:rsid w:val="00700160"/>
    <w:rsid w:val="00700C78"/>
    <w:rsid w:val="00704F20"/>
    <w:rsid w:val="00711D49"/>
    <w:rsid w:val="0071431D"/>
    <w:rsid w:val="007154FD"/>
    <w:rsid w:val="0072781A"/>
    <w:rsid w:val="007306F9"/>
    <w:rsid w:val="007314DE"/>
    <w:rsid w:val="00733B0F"/>
    <w:rsid w:val="0073738B"/>
    <w:rsid w:val="00740024"/>
    <w:rsid w:val="007411D3"/>
    <w:rsid w:val="0074303D"/>
    <w:rsid w:val="00744AC0"/>
    <w:rsid w:val="00745A87"/>
    <w:rsid w:val="00751EE0"/>
    <w:rsid w:val="00753FF0"/>
    <w:rsid w:val="0075685A"/>
    <w:rsid w:val="007574BB"/>
    <w:rsid w:val="0076132A"/>
    <w:rsid w:val="0076334A"/>
    <w:rsid w:val="00763529"/>
    <w:rsid w:val="0076464A"/>
    <w:rsid w:val="00764706"/>
    <w:rsid w:val="00764EAB"/>
    <w:rsid w:val="00766BB4"/>
    <w:rsid w:val="007758A1"/>
    <w:rsid w:val="007770AF"/>
    <w:rsid w:val="007818E8"/>
    <w:rsid w:val="00783618"/>
    <w:rsid w:val="00783AD1"/>
    <w:rsid w:val="00785D14"/>
    <w:rsid w:val="00786574"/>
    <w:rsid w:val="0078716F"/>
    <w:rsid w:val="0078725E"/>
    <w:rsid w:val="007902EA"/>
    <w:rsid w:val="00790395"/>
    <w:rsid w:val="00792019"/>
    <w:rsid w:val="00792E7C"/>
    <w:rsid w:val="007953EC"/>
    <w:rsid w:val="007A1582"/>
    <w:rsid w:val="007A197E"/>
    <w:rsid w:val="007A1A87"/>
    <w:rsid w:val="007A1C26"/>
    <w:rsid w:val="007A59EE"/>
    <w:rsid w:val="007B0EC4"/>
    <w:rsid w:val="007B1EE6"/>
    <w:rsid w:val="007B5FE3"/>
    <w:rsid w:val="007B7481"/>
    <w:rsid w:val="007C20A0"/>
    <w:rsid w:val="007C37DB"/>
    <w:rsid w:val="007C485D"/>
    <w:rsid w:val="007D455A"/>
    <w:rsid w:val="007D5E34"/>
    <w:rsid w:val="007E071A"/>
    <w:rsid w:val="007E6C29"/>
    <w:rsid w:val="007F04EF"/>
    <w:rsid w:val="007F4EC4"/>
    <w:rsid w:val="007F78AE"/>
    <w:rsid w:val="00802D4B"/>
    <w:rsid w:val="00810DEB"/>
    <w:rsid w:val="008120E8"/>
    <w:rsid w:val="00815655"/>
    <w:rsid w:val="00816ACA"/>
    <w:rsid w:val="008201FB"/>
    <w:rsid w:val="00821758"/>
    <w:rsid w:val="00822CC7"/>
    <w:rsid w:val="0082351B"/>
    <w:rsid w:val="0083077C"/>
    <w:rsid w:val="008343AC"/>
    <w:rsid w:val="008433B0"/>
    <w:rsid w:val="00852A4A"/>
    <w:rsid w:val="00856D4D"/>
    <w:rsid w:val="00860B48"/>
    <w:rsid w:val="00864084"/>
    <w:rsid w:val="00870D5D"/>
    <w:rsid w:val="00875024"/>
    <w:rsid w:val="008804D7"/>
    <w:rsid w:val="008845E0"/>
    <w:rsid w:val="008860ED"/>
    <w:rsid w:val="00893326"/>
    <w:rsid w:val="0089449C"/>
    <w:rsid w:val="008A2D69"/>
    <w:rsid w:val="008A3115"/>
    <w:rsid w:val="008A3AAA"/>
    <w:rsid w:val="008A6E01"/>
    <w:rsid w:val="008A6ED6"/>
    <w:rsid w:val="008B15B4"/>
    <w:rsid w:val="008B302A"/>
    <w:rsid w:val="008B3853"/>
    <w:rsid w:val="008B5B8D"/>
    <w:rsid w:val="008B65DE"/>
    <w:rsid w:val="008C5DD2"/>
    <w:rsid w:val="008C626D"/>
    <w:rsid w:val="008D09AC"/>
    <w:rsid w:val="008D0DE5"/>
    <w:rsid w:val="008E3043"/>
    <w:rsid w:val="008E4A65"/>
    <w:rsid w:val="008E4D3E"/>
    <w:rsid w:val="008E517D"/>
    <w:rsid w:val="008E5329"/>
    <w:rsid w:val="008E64B0"/>
    <w:rsid w:val="008E7582"/>
    <w:rsid w:val="008F4BF2"/>
    <w:rsid w:val="008F5DD8"/>
    <w:rsid w:val="008F644A"/>
    <w:rsid w:val="00902333"/>
    <w:rsid w:val="009126ED"/>
    <w:rsid w:val="00913FB3"/>
    <w:rsid w:val="00921C51"/>
    <w:rsid w:val="00924B88"/>
    <w:rsid w:val="00927C49"/>
    <w:rsid w:val="009308F1"/>
    <w:rsid w:val="00930B75"/>
    <w:rsid w:val="00931970"/>
    <w:rsid w:val="00934D8A"/>
    <w:rsid w:val="0093740E"/>
    <w:rsid w:val="00937FCB"/>
    <w:rsid w:val="00942787"/>
    <w:rsid w:val="00942EF3"/>
    <w:rsid w:val="00943859"/>
    <w:rsid w:val="00951B78"/>
    <w:rsid w:val="009537BB"/>
    <w:rsid w:val="00955EC0"/>
    <w:rsid w:val="00955F85"/>
    <w:rsid w:val="009578FA"/>
    <w:rsid w:val="009602EC"/>
    <w:rsid w:val="009627AD"/>
    <w:rsid w:val="009632DB"/>
    <w:rsid w:val="00966017"/>
    <w:rsid w:val="00972DB9"/>
    <w:rsid w:val="009730A3"/>
    <w:rsid w:val="0098175E"/>
    <w:rsid w:val="00985CFF"/>
    <w:rsid w:val="0098614B"/>
    <w:rsid w:val="0098740C"/>
    <w:rsid w:val="00991D30"/>
    <w:rsid w:val="00992A8D"/>
    <w:rsid w:val="0099342B"/>
    <w:rsid w:val="00994517"/>
    <w:rsid w:val="009978D3"/>
    <w:rsid w:val="009A0209"/>
    <w:rsid w:val="009A11E6"/>
    <w:rsid w:val="009A178E"/>
    <w:rsid w:val="009A26E8"/>
    <w:rsid w:val="009A7C81"/>
    <w:rsid w:val="009A7F01"/>
    <w:rsid w:val="009B1856"/>
    <w:rsid w:val="009B5A26"/>
    <w:rsid w:val="009B6470"/>
    <w:rsid w:val="009B793D"/>
    <w:rsid w:val="009C10F5"/>
    <w:rsid w:val="009C2F46"/>
    <w:rsid w:val="009C5BBF"/>
    <w:rsid w:val="009D319D"/>
    <w:rsid w:val="009E428F"/>
    <w:rsid w:val="009F5702"/>
    <w:rsid w:val="009F697A"/>
    <w:rsid w:val="00A012D9"/>
    <w:rsid w:val="00A03131"/>
    <w:rsid w:val="00A04954"/>
    <w:rsid w:val="00A13685"/>
    <w:rsid w:val="00A22F59"/>
    <w:rsid w:val="00A2568B"/>
    <w:rsid w:val="00A27B22"/>
    <w:rsid w:val="00A32C17"/>
    <w:rsid w:val="00A330D6"/>
    <w:rsid w:val="00A36393"/>
    <w:rsid w:val="00A42D30"/>
    <w:rsid w:val="00A44120"/>
    <w:rsid w:val="00A46FF5"/>
    <w:rsid w:val="00A51FB2"/>
    <w:rsid w:val="00A54CF9"/>
    <w:rsid w:val="00A56D21"/>
    <w:rsid w:val="00A61478"/>
    <w:rsid w:val="00A711CD"/>
    <w:rsid w:val="00A727A8"/>
    <w:rsid w:val="00A73E6C"/>
    <w:rsid w:val="00A7445A"/>
    <w:rsid w:val="00A764E0"/>
    <w:rsid w:val="00A81AB4"/>
    <w:rsid w:val="00A94E3B"/>
    <w:rsid w:val="00A9722A"/>
    <w:rsid w:val="00AA0030"/>
    <w:rsid w:val="00AA112B"/>
    <w:rsid w:val="00AA5A66"/>
    <w:rsid w:val="00AB2A53"/>
    <w:rsid w:val="00AC0843"/>
    <w:rsid w:val="00AC6DE3"/>
    <w:rsid w:val="00AC6FFF"/>
    <w:rsid w:val="00AC7F52"/>
    <w:rsid w:val="00AD1F1A"/>
    <w:rsid w:val="00AD57DE"/>
    <w:rsid w:val="00AD6453"/>
    <w:rsid w:val="00AE06E5"/>
    <w:rsid w:val="00AE3A20"/>
    <w:rsid w:val="00AE4C6E"/>
    <w:rsid w:val="00AE65EF"/>
    <w:rsid w:val="00AF4536"/>
    <w:rsid w:val="00AF6868"/>
    <w:rsid w:val="00AF784D"/>
    <w:rsid w:val="00B004C4"/>
    <w:rsid w:val="00B01BD1"/>
    <w:rsid w:val="00B038B2"/>
    <w:rsid w:val="00B03B00"/>
    <w:rsid w:val="00B051E9"/>
    <w:rsid w:val="00B0688B"/>
    <w:rsid w:val="00B0721D"/>
    <w:rsid w:val="00B10C2A"/>
    <w:rsid w:val="00B12283"/>
    <w:rsid w:val="00B13F4C"/>
    <w:rsid w:val="00B1699C"/>
    <w:rsid w:val="00B16D54"/>
    <w:rsid w:val="00B2396B"/>
    <w:rsid w:val="00B34519"/>
    <w:rsid w:val="00B36193"/>
    <w:rsid w:val="00B36451"/>
    <w:rsid w:val="00B44F6C"/>
    <w:rsid w:val="00B46AE7"/>
    <w:rsid w:val="00B46D0F"/>
    <w:rsid w:val="00B563ED"/>
    <w:rsid w:val="00B572B2"/>
    <w:rsid w:val="00B60CA4"/>
    <w:rsid w:val="00B66D07"/>
    <w:rsid w:val="00B6729E"/>
    <w:rsid w:val="00B70137"/>
    <w:rsid w:val="00B72625"/>
    <w:rsid w:val="00B726AC"/>
    <w:rsid w:val="00B73685"/>
    <w:rsid w:val="00B74BCC"/>
    <w:rsid w:val="00B77164"/>
    <w:rsid w:val="00B77AFE"/>
    <w:rsid w:val="00B908F3"/>
    <w:rsid w:val="00B925BD"/>
    <w:rsid w:val="00B979DB"/>
    <w:rsid w:val="00BA0568"/>
    <w:rsid w:val="00BA08F6"/>
    <w:rsid w:val="00BA193D"/>
    <w:rsid w:val="00BA2C44"/>
    <w:rsid w:val="00BA4500"/>
    <w:rsid w:val="00BB4960"/>
    <w:rsid w:val="00BB737D"/>
    <w:rsid w:val="00BC2A72"/>
    <w:rsid w:val="00BC3796"/>
    <w:rsid w:val="00BC3F60"/>
    <w:rsid w:val="00BC4D19"/>
    <w:rsid w:val="00BC5580"/>
    <w:rsid w:val="00BD09BF"/>
    <w:rsid w:val="00BD7405"/>
    <w:rsid w:val="00BD7E8D"/>
    <w:rsid w:val="00BE079E"/>
    <w:rsid w:val="00BE0E07"/>
    <w:rsid w:val="00BE27EA"/>
    <w:rsid w:val="00BE2B04"/>
    <w:rsid w:val="00BE4539"/>
    <w:rsid w:val="00BE54AA"/>
    <w:rsid w:val="00BE57D1"/>
    <w:rsid w:val="00BE7929"/>
    <w:rsid w:val="00BF4CC5"/>
    <w:rsid w:val="00C002DC"/>
    <w:rsid w:val="00C03285"/>
    <w:rsid w:val="00C05645"/>
    <w:rsid w:val="00C13DDD"/>
    <w:rsid w:val="00C21B43"/>
    <w:rsid w:val="00C22358"/>
    <w:rsid w:val="00C260E9"/>
    <w:rsid w:val="00C27AC8"/>
    <w:rsid w:val="00C30E2A"/>
    <w:rsid w:val="00C31B55"/>
    <w:rsid w:val="00C32176"/>
    <w:rsid w:val="00C41C67"/>
    <w:rsid w:val="00C4222E"/>
    <w:rsid w:val="00C4450B"/>
    <w:rsid w:val="00C46326"/>
    <w:rsid w:val="00C467ED"/>
    <w:rsid w:val="00C50CAD"/>
    <w:rsid w:val="00C50DF7"/>
    <w:rsid w:val="00C51A4A"/>
    <w:rsid w:val="00C51EF8"/>
    <w:rsid w:val="00C54238"/>
    <w:rsid w:val="00C54945"/>
    <w:rsid w:val="00C62885"/>
    <w:rsid w:val="00C67274"/>
    <w:rsid w:val="00C718FC"/>
    <w:rsid w:val="00C71B21"/>
    <w:rsid w:val="00C71D8B"/>
    <w:rsid w:val="00C7334A"/>
    <w:rsid w:val="00C7336B"/>
    <w:rsid w:val="00C75FAE"/>
    <w:rsid w:val="00C77140"/>
    <w:rsid w:val="00C776CB"/>
    <w:rsid w:val="00C77CBD"/>
    <w:rsid w:val="00C82229"/>
    <w:rsid w:val="00C822F1"/>
    <w:rsid w:val="00C90D61"/>
    <w:rsid w:val="00C922C0"/>
    <w:rsid w:val="00C97948"/>
    <w:rsid w:val="00CA0869"/>
    <w:rsid w:val="00CA2557"/>
    <w:rsid w:val="00CA427C"/>
    <w:rsid w:val="00CA743A"/>
    <w:rsid w:val="00CB1616"/>
    <w:rsid w:val="00CB31BB"/>
    <w:rsid w:val="00CB3BB9"/>
    <w:rsid w:val="00CB5CB6"/>
    <w:rsid w:val="00CC0F02"/>
    <w:rsid w:val="00CC1ECB"/>
    <w:rsid w:val="00CC4BBF"/>
    <w:rsid w:val="00CD1089"/>
    <w:rsid w:val="00CD223E"/>
    <w:rsid w:val="00CD3B7C"/>
    <w:rsid w:val="00CD4614"/>
    <w:rsid w:val="00CD65B0"/>
    <w:rsid w:val="00CE02B3"/>
    <w:rsid w:val="00CE3980"/>
    <w:rsid w:val="00CE4388"/>
    <w:rsid w:val="00CE5028"/>
    <w:rsid w:val="00CE6792"/>
    <w:rsid w:val="00CE6ACF"/>
    <w:rsid w:val="00CE7934"/>
    <w:rsid w:val="00CF1C04"/>
    <w:rsid w:val="00CF4F11"/>
    <w:rsid w:val="00CF5EF8"/>
    <w:rsid w:val="00CF60E0"/>
    <w:rsid w:val="00CF7A85"/>
    <w:rsid w:val="00D078EB"/>
    <w:rsid w:val="00D10433"/>
    <w:rsid w:val="00D121E9"/>
    <w:rsid w:val="00D138AB"/>
    <w:rsid w:val="00D17057"/>
    <w:rsid w:val="00D205F0"/>
    <w:rsid w:val="00D20795"/>
    <w:rsid w:val="00D2206C"/>
    <w:rsid w:val="00D22BDB"/>
    <w:rsid w:val="00D2440D"/>
    <w:rsid w:val="00D2685C"/>
    <w:rsid w:val="00D26BBA"/>
    <w:rsid w:val="00D314A6"/>
    <w:rsid w:val="00D374C3"/>
    <w:rsid w:val="00D375E1"/>
    <w:rsid w:val="00D40FC7"/>
    <w:rsid w:val="00D50504"/>
    <w:rsid w:val="00D52716"/>
    <w:rsid w:val="00D53778"/>
    <w:rsid w:val="00D600A9"/>
    <w:rsid w:val="00D61821"/>
    <w:rsid w:val="00D61AE4"/>
    <w:rsid w:val="00D61F9A"/>
    <w:rsid w:val="00D62D1F"/>
    <w:rsid w:val="00D637D8"/>
    <w:rsid w:val="00D64789"/>
    <w:rsid w:val="00D65E60"/>
    <w:rsid w:val="00D66823"/>
    <w:rsid w:val="00D702E8"/>
    <w:rsid w:val="00D717E6"/>
    <w:rsid w:val="00D822E3"/>
    <w:rsid w:val="00D82787"/>
    <w:rsid w:val="00D84669"/>
    <w:rsid w:val="00D8579D"/>
    <w:rsid w:val="00D85D59"/>
    <w:rsid w:val="00D86AEE"/>
    <w:rsid w:val="00D8785E"/>
    <w:rsid w:val="00D92942"/>
    <w:rsid w:val="00DA0452"/>
    <w:rsid w:val="00DA0755"/>
    <w:rsid w:val="00DA217E"/>
    <w:rsid w:val="00DA5A5C"/>
    <w:rsid w:val="00DA6884"/>
    <w:rsid w:val="00DA6C8A"/>
    <w:rsid w:val="00DA6D07"/>
    <w:rsid w:val="00DB16DA"/>
    <w:rsid w:val="00DB7EA5"/>
    <w:rsid w:val="00DC042D"/>
    <w:rsid w:val="00DC5986"/>
    <w:rsid w:val="00DD2493"/>
    <w:rsid w:val="00DD298E"/>
    <w:rsid w:val="00DD2EF3"/>
    <w:rsid w:val="00DD59AA"/>
    <w:rsid w:val="00DD6ADD"/>
    <w:rsid w:val="00DE21A2"/>
    <w:rsid w:val="00DE4C0C"/>
    <w:rsid w:val="00DE667A"/>
    <w:rsid w:val="00DF5BCA"/>
    <w:rsid w:val="00DF5D48"/>
    <w:rsid w:val="00DF68E3"/>
    <w:rsid w:val="00E00395"/>
    <w:rsid w:val="00E00A8A"/>
    <w:rsid w:val="00E01963"/>
    <w:rsid w:val="00E109CE"/>
    <w:rsid w:val="00E10E92"/>
    <w:rsid w:val="00E12941"/>
    <w:rsid w:val="00E12B35"/>
    <w:rsid w:val="00E14D8D"/>
    <w:rsid w:val="00E171D2"/>
    <w:rsid w:val="00E20319"/>
    <w:rsid w:val="00E31660"/>
    <w:rsid w:val="00E33C97"/>
    <w:rsid w:val="00E34746"/>
    <w:rsid w:val="00E37D65"/>
    <w:rsid w:val="00E40C24"/>
    <w:rsid w:val="00E42CBE"/>
    <w:rsid w:val="00E431CA"/>
    <w:rsid w:val="00E508B7"/>
    <w:rsid w:val="00E50AD5"/>
    <w:rsid w:val="00E52AC5"/>
    <w:rsid w:val="00E551E1"/>
    <w:rsid w:val="00E608AF"/>
    <w:rsid w:val="00E618E1"/>
    <w:rsid w:val="00E6198E"/>
    <w:rsid w:val="00E6232A"/>
    <w:rsid w:val="00E62B6C"/>
    <w:rsid w:val="00E65B5D"/>
    <w:rsid w:val="00E66190"/>
    <w:rsid w:val="00E7138F"/>
    <w:rsid w:val="00E72A5F"/>
    <w:rsid w:val="00E72C7E"/>
    <w:rsid w:val="00E72E9E"/>
    <w:rsid w:val="00E73408"/>
    <w:rsid w:val="00E73929"/>
    <w:rsid w:val="00E73D6A"/>
    <w:rsid w:val="00E747C4"/>
    <w:rsid w:val="00E76033"/>
    <w:rsid w:val="00E82EEB"/>
    <w:rsid w:val="00E85D16"/>
    <w:rsid w:val="00E864CC"/>
    <w:rsid w:val="00E916F2"/>
    <w:rsid w:val="00E9583A"/>
    <w:rsid w:val="00E96E87"/>
    <w:rsid w:val="00EA14ED"/>
    <w:rsid w:val="00EA4569"/>
    <w:rsid w:val="00EA456F"/>
    <w:rsid w:val="00EB1BEA"/>
    <w:rsid w:val="00EB1F64"/>
    <w:rsid w:val="00EB49E0"/>
    <w:rsid w:val="00EB4B92"/>
    <w:rsid w:val="00EB623B"/>
    <w:rsid w:val="00EC48BF"/>
    <w:rsid w:val="00EC6B51"/>
    <w:rsid w:val="00EC7EA6"/>
    <w:rsid w:val="00ED05E5"/>
    <w:rsid w:val="00EE08C2"/>
    <w:rsid w:val="00EE142B"/>
    <w:rsid w:val="00EE4513"/>
    <w:rsid w:val="00EE48FE"/>
    <w:rsid w:val="00EE5AAE"/>
    <w:rsid w:val="00EF3050"/>
    <w:rsid w:val="00EF35F3"/>
    <w:rsid w:val="00F00432"/>
    <w:rsid w:val="00F014AF"/>
    <w:rsid w:val="00F105DA"/>
    <w:rsid w:val="00F126E0"/>
    <w:rsid w:val="00F1489C"/>
    <w:rsid w:val="00F158F4"/>
    <w:rsid w:val="00F247FD"/>
    <w:rsid w:val="00F24CFB"/>
    <w:rsid w:val="00F25C00"/>
    <w:rsid w:val="00F261EC"/>
    <w:rsid w:val="00F31591"/>
    <w:rsid w:val="00F326B0"/>
    <w:rsid w:val="00F36A86"/>
    <w:rsid w:val="00F37092"/>
    <w:rsid w:val="00F4360D"/>
    <w:rsid w:val="00F45A8C"/>
    <w:rsid w:val="00F463EA"/>
    <w:rsid w:val="00F51B6B"/>
    <w:rsid w:val="00F53521"/>
    <w:rsid w:val="00F538D5"/>
    <w:rsid w:val="00F56102"/>
    <w:rsid w:val="00F6038B"/>
    <w:rsid w:val="00F617A8"/>
    <w:rsid w:val="00F64449"/>
    <w:rsid w:val="00F64FF6"/>
    <w:rsid w:val="00F657FC"/>
    <w:rsid w:val="00F668C3"/>
    <w:rsid w:val="00F711A9"/>
    <w:rsid w:val="00F76656"/>
    <w:rsid w:val="00F80D9E"/>
    <w:rsid w:val="00F81243"/>
    <w:rsid w:val="00F844C5"/>
    <w:rsid w:val="00F86965"/>
    <w:rsid w:val="00F90343"/>
    <w:rsid w:val="00F905EB"/>
    <w:rsid w:val="00F9070C"/>
    <w:rsid w:val="00F90EE4"/>
    <w:rsid w:val="00F973F5"/>
    <w:rsid w:val="00F97837"/>
    <w:rsid w:val="00FA2D41"/>
    <w:rsid w:val="00FA3F5D"/>
    <w:rsid w:val="00FA4F6E"/>
    <w:rsid w:val="00FA5917"/>
    <w:rsid w:val="00FA6E68"/>
    <w:rsid w:val="00FB2FE8"/>
    <w:rsid w:val="00FB3C9D"/>
    <w:rsid w:val="00FC06F2"/>
    <w:rsid w:val="00FC1F2C"/>
    <w:rsid w:val="00FC3633"/>
    <w:rsid w:val="00FC3795"/>
    <w:rsid w:val="00FC4830"/>
    <w:rsid w:val="00FC5FBF"/>
    <w:rsid w:val="00FD22E5"/>
    <w:rsid w:val="00FD3857"/>
    <w:rsid w:val="00FD43D6"/>
    <w:rsid w:val="00FE1B9D"/>
    <w:rsid w:val="00FE6EDE"/>
    <w:rsid w:val="00FF2B78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D7AF-6FE1-4C30-894D-37CBDF3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4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291D46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291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291D46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291D4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291D46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291D46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29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91D4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291D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29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291D46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291D46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29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91D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291D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4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A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02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460187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053A3F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053A3F"/>
    <w:rPr>
      <w:rFonts w:ascii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2C08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08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0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08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08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1">
    <w:name w:val="TableGrid1"/>
    <w:rsid w:val="003B73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rsid w:val="00BD7405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20224-AED3-4E1C-A298-F4D7E84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Чёрная Ольга Ивановна</cp:lastModifiedBy>
  <cp:revision>3</cp:revision>
  <cp:lastPrinted>2019-04-17T12:11:00Z</cp:lastPrinted>
  <dcterms:created xsi:type="dcterms:W3CDTF">2020-02-07T11:24:00Z</dcterms:created>
  <dcterms:modified xsi:type="dcterms:W3CDTF">2020-02-07T11:25:00Z</dcterms:modified>
</cp:coreProperties>
</file>