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B6" w:rsidRPr="00E07008" w:rsidRDefault="00380CB6" w:rsidP="00380CB6">
      <w:pPr>
        <w:keepLines/>
        <w:widowControl w:val="0"/>
        <w:suppressAutoHyphens/>
        <w:jc w:val="center"/>
        <w:rPr>
          <w:b/>
          <w:sz w:val="22"/>
          <w:szCs w:val="22"/>
        </w:rPr>
      </w:pPr>
      <w:r w:rsidRPr="00E07008">
        <w:rPr>
          <w:b/>
          <w:sz w:val="22"/>
          <w:szCs w:val="22"/>
        </w:rPr>
        <w:t>ОПИСАНИЕ ОБЪЕКТА ЗАКУПКИ</w:t>
      </w:r>
    </w:p>
    <w:p w:rsidR="00380CB6" w:rsidRPr="00E07008" w:rsidRDefault="00380CB6" w:rsidP="00380CB6">
      <w:pPr>
        <w:keepNext/>
        <w:keepLines/>
        <w:jc w:val="center"/>
        <w:rPr>
          <w:bCs/>
          <w:sz w:val="22"/>
          <w:szCs w:val="22"/>
        </w:rPr>
      </w:pPr>
      <w:r w:rsidRPr="00E07008">
        <w:rPr>
          <w:bCs/>
          <w:sz w:val="22"/>
          <w:szCs w:val="22"/>
        </w:rPr>
        <w:t xml:space="preserve">Поставка </w:t>
      </w:r>
      <w:proofErr w:type="spellStart"/>
      <w:r w:rsidRPr="00E07008">
        <w:rPr>
          <w:bCs/>
          <w:sz w:val="22"/>
          <w:szCs w:val="22"/>
        </w:rPr>
        <w:t>противопролежневых</w:t>
      </w:r>
      <w:proofErr w:type="spellEnd"/>
      <w:r w:rsidRPr="00E07008">
        <w:rPr>
          <w:bCs/>
          <w:sz w:val="22"/>
          <w:szCs w:val="22"/>
        </w:rPr>
        <w:t xml:space="preserve"> матрацев и </w:t>
      </w:r>
      <w:proofErr w:type="spellStart"/>
      <w:r w:rsidRPr="00E07008">
        <w:rPr>
          <w:bCs/>
          <w:sz w:val="22"/>
          <w:szCs w:val="22"/>
        </w:rPr>
        <w:t>противопролежневых</w:t>
      </w:r>
      <w:proofErr w:type="spellEnd"/>
      <w:r w:rsidRPr="00E07008">
        <w:rPr>
          <w:bCs/>
          <w:sz w:val="22"/>
          <w:szCs w:val="22"/>
        </w:rPr>
        <w:t xml:space="preserve"> подушек для обеспечения инвалидов Краснодарского края в 2020 году</w:t>
      </w:r>
    </w:p>
    <w:p w:rsidR="00380CB6" w:rsidRPr="00E07008" w:rsidRDefault="00380CB6" w:rsidP="00380CB6">
      <w:pPr>
        <w:keepNext/>
        <w:keepLines/>
        <w:jc w:val="center"/>
        <w:rPr>
          <w:sz w:val="22"/>
          <w:szCs w:val="22"/>
        </w:rPr>
      </w:pPr>
    </w:p>
    <w:tbl>
      <w:tblPr>
        <w:tblStyle w:val="a3"/>
        <w:tblW w:w="514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07"/>
        <w:gridCol w:w="2797"/>
        <w:gridCol w:w="6517"/>
        <w:gridCol w:w="994"/>
        <w:gridCol w:w="851"/>
        <w:gridCol w:w="1276"/>
        <w:gridCol w:w="1932"/>
      </w:tblGrid>
      <w:tr w:rsidR="00E07008" w:rsidRPr="00E07008" w:rsidTr="00E07008">
        <w:trPr>
          <w:cantSplit/>
          <w:trHeight w:val="1461"/>
        </w:trPr>
        <w:tc>
          <w:tcPr>
            <w:tcW w:w="203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№ п/п</w:t>
            </w:r>
          </w:p>
        </w:tc>
        <w:tc>
          <w:tcPr>
            <w:tcW w:w="934" w:type="pct"/>
          </w:tcPr>
          <w:p w:rsidR="00380CB6" w:rsidRPr="00E07008" w:rsidRDefault="00380CB6" w:rsidP="00822A2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Наименование товара, работ, услуг</w:t>
            </w:r>
          </w:p>
        </w:tc>
        <w:tc>
          <w:tcPr>
            <w:tcW w:w="2176" w:type="pct"/>
          </w:tcPr>
          <w:p w:rsidR="00380CB6" w:rsidRPr="00E07008" w:rsidRDefault="00380CB6" w:rsidP="00822A2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332" w:type="pct"/>
          </w:tcPr>
          <w:p w:rsidR="00380CB6" w:rsidRPr="00E07008" w:rsidRDefault="00380CB6" w:rsidP="00380CB6">
            <w:pPr>
              <w:keepLines/>
              <w:widowControl w:val="0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Ед</w:t>
            </w:r>
            <w:r w:rsidRPr="00E07008">
              <w:rPr>
                <w:sz w:val="22"/>
                <w:szCs w:val="22"/>
              </w:rPr>
              <w:t>. изм.</w:t>
            </w:r>
          </w:p>
        </w:tc>
        <w:tc>
          <w:tcPr>
            <w:tcW w:w="284" w:type="pct"/>
          </w:tcPr>
          <w:p w:rsidR="00380CB6" w:rsidRPr="00E07008" w:rsidRDefault="00380CB6" w:rsidP="00380CB6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Кол</w:t>
            </w:r>
            <w:r w:rsidRPr="00E07008">
              <w:rPr>
                <w:sz w:val="22"/>
                <w:szCs w:val="22"/>
              </w:rPr>
              <w:t>-</w:t>
            </w:r>
            <w:r w:rsidRPr="00E07008">
              <w:rPr>
                <w:sz w:val="22"/>
                <w:szCs w:val="22"/>
              </w:rPr>
              <w:t>во</w:t>
            </w:r>
          </w:p>
        </w:tc>
        <w:tc>
          <w:tcPr>
            <w:tcW w:w="426" w:type="pct"/>
          </w:tcPr>
          <w:p w:rsidR="00380CB6" w:rsidRPr="00E07008" w:rsidRDefault="00380CB6" w:rsidP="00822A2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645" w:type="pct"/>
          </w:tcPr>
          <w:p w:rsidR="00380CB6" w:rsidRPr="00E07008" w:rsidRDefault="00380CB6" w:rsidP="00822A28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Стоимость позиции, руб.</w:t>
            </w:r>
          </w:p>
        </w:tc>
      </w:tr>
      <w:tr w:rsidR="00E07008" w:rsidRPr="00E07008" w:rsidTr="00E07008">
        <w:trPr>
          <w:trHeight w:val="559"/>
        </w:trPr>
        <w:tc>
          <w:tcPr>
            <w:tcW w:w="203" w:type="pct"/>
          </w:tcPr>
          <w:p w:rsidR="00380CB6" w:rsidRPr="00E07008" w:rsidRDefault="00380CB6" w:rsidP="00822A28">
            <w:pPr>
              <w:keepLines/>
              <w:widowControl w:val="0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1.</w:t>
            </w:r>
          </w:p>
        </w:tc>
        <w:tc>
          <w:tcPr>
            <w:tcW w:w="934" w:type="pct"/>
          </w:tcPr>
          <w:p w:rsidR="00380CB6" w:rsidRPr="00E07008" w:rsidRDefault="00380CB6" w:rsidP="00822A28">
            <w:pPr>
              <w:rPr>
                <w:sz w:val="22"/>
                <w:szCs w:val="22"/>
              </w:rPr>
            </w:pPr>
            <w:proofErr w:type="spellStart"/>
            <w:r w:rsidRPr="00E07008">
              <w:rPr>
                <w:sz w:val="22"/>
                <w:szCs w:val="22"/>
              </w:rPr>
              <w:t>Противопролежневый</w:t>
            </w:r>
            <w:proofErr w:type="spellEnd"/>
            <w:r w:rsidRPr="00E07008">
              <w:rPr>
                <w:sz w:val="22"/>
                <w:szCs w:val="22"/>
              </w:rPr>
              <w:t xml:space="preserve"> матрац полиуретановый</w:t>
            </w:r>
          </w:p>
        </w:tc>
        <w:tc>
          <w:tcPr>
            <w:tcW w:w="2176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i/>
                <w:sz w:val="22"/>
                <w:szCs w:val="22"/>
              </w:rPr>
            </w:pPr>
            <w:proofErr w:type="spellStart"/>
            <w:r w:rsidRPr="00E07008">
              <w:rPr>
                <w:i/>
                <w:sz w:val="22"/>
                <w:szCs w:val="22"/>
              </w:rPr>
              <w:t>Противопролежневый</w:t>
            </w:r>
            <w:proofErr w:type="spellEnd"/>
            <w:r w:rsidRPr="00E07008">
              <w:rPr>
                <w:i/>
                <w:sz w:val="22"/>
                <w:szCs w:val="22"/>
              </w:rPr>
              <w:t xml:space="preserve"> матрац полиуретановый</w:t>
            </w:r>
          </w:p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proofErr w:type="spellStart"/>
            <w:r w:rsidRPr="00E07008">
              <w:rPr>
                <w:sz w:val="22"/>
                <w:szCs w:val="22"/>
              </w:rPr>
              <w:t>Противопролежневый</w:t>
            </w:r>
            <w:proofErr w:type="spellEnd"/>
            <w:r w:rsidRPr="00E07008">
              <w:rPr>
                <w:sz w:val="22"/>
                <w:szCs w:val="22"/>
              </w:rPr>
              <w:t xml:space="preserve"> матрац должен быть предназначен для профилактики возникновения пролежней, создания комфорта и устойчивого положения тела для инвалидов, длительно находящихся на постельном режиме. Характеристика матраца: Должен быть Упругий вязко-эластичный </w:t>
            </w:r>
            <w:proofErr w:type="spellStart"/>
            <w:r w:rsidRPr="00E07008">
              <w:rPr>
                <w:sz w:val="22"/>
                <w:szCs w:val="22"/>
              </w:rPr>
              <w:t>пенополиуретан</w:t>
            </w:r>
            <w:proofErr w:type="spellEnd"/>
            <w:r w:rsidRPr="00E07008">
              <w:rPr>
                <w:sz w:val="22"/>
                <w:szCs w:val="22"/>
              </w:rPr>
              <w:t>.  Максимальная допустимая нагрузка на изделие должна быть – не менее 120 кг. Длина: не менее 1800 мм. Ширина: не менее 840 мм. Высота: не менее 40 мм.</w:t>
            </w:r>
          </w:p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 xml:space="preserve">Должно быть Соответствие (ГОСТ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07008">
              <w:rPr>
                <w:sz w:val="22"/>
                <w:szCs w:val="22"/>
              </w:rPr>
              <w:t>цитотоксичность</w:t>
            </w:r>
            <w:proofErr w:type="spellEnd"/>
            <w:r w:rsidRPr="00E07008">
              <w:rPr>
                <w:sz w:val="22"/>
                <w:szCs w:val="22"/>
              </w:rPr>
              <w:t xml:space="preserve">: методы </w:t>
            </w:r>
            <w:proofErr w:type="spellStart"/>
            <w:r w:rsidRPr="00E07008">
              <w:rPr>
                <w:sz w:val="22"/>
                <w:szCs w:val="22"/>
              </w:rPr>
              <w:t>in</w:t>
            </w:r>
            <w:proofErr w:type="spellEnd"/>
            <w:r w:rsidRPr="00E07008">
              <w:rPr>
                <w:sz w:val="22"/>
                <w:szCs w:val="22"/>
              </w:rPr>
              <w:t xml:space="preserve"> </w:t>
            </w:r>
            <w:proofErr w:type="spellStart"/>
            <w:r w:rsidRPr="00E07008">
              <w:rPr>
                <w:sz w:val="22"/>
                <w:szCs w:val="22"/>
              </w:rPr>
              <w:t>vitro</w:t>
            </w:r>
            <w:proofErr w:type="spellEnd"/>
            <w:r w:rsidRPr="00E07008">
              <w:rPr>
                <w:sz w:val="22"/>
                <w:szCs w:val="22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52770-2016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испытаний").</w:t>
            </w:r>
          </w:p>
        </w:tc>
        <w:tc>
          <w:tcPr>
            <w:tcW w:w="332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Шт.</w:t>
            </w:r>
          </w:p>
        </w:tc>
        <w:tc>
          <w:tcPr>
            <w:tcW w:w="284" w:type="pct"/>
          </w:tcPr>
          <w:p w:rsidR="00380CB6" w:rsidRPr="00E07008" w:rsidRDefault="00380CB6" w:rsidP="00822A28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E07008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426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5 764,20</w:t>
            </w:r>
          </w:p>
        </w:tc>
        <w:tc>
          <w:tcPr>
            <w:tcW w:w="645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1 152 840,00</w:t>
            </w:r>
          </w:p>
        </w:tc>
      </w:tr>
      <w:tr w:rsidR="00E07008" w:rsidRPr="00E07008" w:rsidTr="00E07008">
        <w:trPr>
          <w:trHeight w:val="559"/>
        </w:trPr>
        <w:tc>
          <w:tcPr>
            <w:tcW w:w="203" w:type="pct"/>
          </w:tcPr>
          <w:p w:rsidR="00380CB6" w:rsidRPr="00E07008" w:rsidRDefault="00380CB6" w:rsidP="00822A28">
            <w:pPr>
              <w:keepLines/>
              <w:widowControl w:val="0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2.</w:t>
            </w:r>
          </w:p>
        </w:tc>
        <w:tc>
          <w:tcPr>
            <w:tcW w:w="934" w:type="pct"/>
          </w:tcPr>
          <w:p w:rsidR="00380CB6" w:rsidRPr="00E07008" w:rsidRDefault="00380CB6" w:rsidP="00822A28">
            <w:pPr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 xml:space="preserve">Матрас </w:t>
            </w:r>
            <w:proofErr w:type="spellStart"/>
            <w:r w:rsidRPr="00E07008">
              <w:rPr>
                <w:sz w:val="22"/>
                <w:szCs w:val="22"/>
              </w:rPr>
              <w:t>противопролежневый</w:t>
            </w:r>
            <w:proofErr w:type="spellEnd"/>
            <w:r w:rsidRPr="00E07008">
              <w:rPr>
                <w:sz w:val="22"/>
                <w:szCs w:val="22"/>
              </w:rPr>
              <w:t xml:space="preserve"> с </w:t>
            </w:r>
            <w:proofErr w:type="spellStart"/>
            <w:r w:rsidRPr="00E07008">
              <w:rPr>
                <w:sz w:val="22"/>
                <w:szCs w:val="22"/>
              </w:rPr>
              <w:t>гелевым</w:t>
            </w:r>
            <w:proofErr w:type="spellEnd"/>
            <w:r w:rsidRPr="00E07008">
              <w:rPr>
                <w:sz w:val="22"/>
                <w:szCs w:val="22"/>
              </w:rPr>
              <w:t xml:space="preserve"> наполнителем</w:t>
            </w:r>
          </w:p>
        </w:tc>
        <w:tc>
          <w:tcPr>
            <w:tcW w:w="2176" w:type="pct"/>
          </w:tcPr>
          <w:p w:rsidR="00380CB6" w:rsidRPr="00E07008" w:rsidRDefault="00380CB6" w:rsidP="00822A28">
            <w:pPr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008">
              <w:rPr>
                <w:i/>
                <w:color w:val="000000"/>
                <w:sz w:val="22"/>
                <w:szCs w:val="22"/>
                <w:lang w:eastAsia="ru-RU"/>
              </w:rPr>
              <w:t>Противопролежневый</w:t>
            </w:r>
            <w:proofErr w:type="spellEnd"/>
            <w:r w:rsidRPr="00E07008">
              <w:rPr>
                <w:i/>
                <w:color w:val="000000"/>
                <w:sz w:val="22"/>
                <w:szCs w:val="22"/>
                <w:lang w:eastAsia="ru-RU"/>
              </w:rPr>
              <w:t xml:space="preserve"> матрац </w:t>
            </w:r>
            <w:proofErr w:type="spellStart"/>
            <w:r w:rsidRPr="00E07008">
              <w:rPr>
                <w:i/>
                <w:color w:val="000000"/>
                <w:sz w:val="22"/>
                <w:szCs w:val="22"/>
                <w:lang w:eastAsia="ru-RU"/>
              </w:rPr>
              <w:t>гелевый</w:t>
            </w:r>
            <w:proofErr w:type="spellEnd"/>
          </w:p>
          <w:p w:rsidR="00380CB6" w:rsidRPr="00E07008" w:rsidRDefault="00380CB6" w:rsidP="00822A2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Противопролежневый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матрац должен быть предназначен для профилактики пролежней у больных, длительно находящихся на постельном режиме и подверженных риску развития трофических нарушений в местах соприкосновения кожи с постельным бельем.  </w:t>
            </w:r>
            <w:r w:rsidRPr="00E0700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Наполнитель внутреннего объема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противопролежневого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матраца должен быть - гель, распределенный в ячейки. В разных сегментах степень наполнения различна, что должно обеспечивать эффективное перераспределения давления. Максимальная допустимая нагрузка на изделие должно быть – не менее 120 кг. Длина: не менее 1800 мм. Ширина: не менее 840 мм. Высота: не менее 40 мм.</w:t>
            </w:r>
          </w:p>
          <w:p w:rsidR="00380CB6" w:rsidRPr="00E07008" w:rsidRDefault="00380CB6" w:rsidP="00822A2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Должно быть Соответствие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цитотоксичность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: методы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in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vitro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52770-2016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332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84" w:type="pct"/>
          </w:tcPr>
          <w:p w:rsidR="00380CB6" w:rsidRPr="00E07008" w:rsidRDefault="00380CB6" w:rsidP="00822A28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E07008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26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13 724,42</w:t>
            </w:r>
          </w:p>
        </w:tc>
        <w:tc>
          <w:tcPr>
            <w:tcW w:w="645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1 372 442,00</w:t>
            </w:r>
          </w:p>
        </w:tc>
      </w:tr>
      <w:tr w:rsidR="00E07008" w:rsidRPr="00E07008" w:rsidTr="00E07008">
        <w:trPr>
          <w:trHeight w:val="559"/>
        </w:trPr>
        <w:tc>
          <w:tcPr>
            <w:tcW w:w="203" w:type="pct"/>
          </w:tcPr>
          <w:p w:rsidR="00380CB6" w:rsidRPr="00E07008" w:rsidRDefault="00380CB6" w:rsidP="00822A28">
            <w:pPr>
              <w:keepLines/>
              <w:widowControl w:val="0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34" w:type="pct"/>
          </w:tcPr>
          <w:p w:rsidR="00380CB6" w:rsidRPr="00E07008" w:rsidRDefault="00380CB6" w:rsidP="00822A28">
            <w:pPr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 xml:space="preserve">Система </w:t>
            </w:r>
            <w:proofErr w:type="spellStart"/>
            <w:r w:rsidRPr="00E07008">
              <w:rPr>
                <w:sz w:val="22"/>
                <w:szCs w:val="22"/>
              </w:rPr>
              <w:t>противопролежневая</w:t>
            </w:r>
            <w:proofErr w:type="spellEnd"/>
            <w:r w:rsidRPr="00E07008">
              <w:rPr>
                <w:sz w:val="22"/>
                <w:szCs w:val="22"/>
              </w:rPr>
              <w:t xml:space="preserve"> с надувным матрасом с регулируемым давлением</w:t>
            </w:r>
          </w:p>
        </w:tc>
        <w:tc>
          <w:tcPr>
            <w:tcW w:w="2176" w:type="pct"/>
          </w:tcPr>
          <w:p w:rsidR="00380CB6" w:rsidRPr="00E07008" w:rsidRDefault="00380CB6" w:rsidP="00822A28">
            <w:pPr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008">
              <w:rPr>
                <w:i/>
                <w:color w:val="000000"/>
                <w:sz w:val="22"/>
                <w:szCs w:val="22"/>
                <w:lang w:eastAsia="ru-RU"/>
              </w:rPr>
              <w:t>Противопролежневый</w:t>
            </w:r>
            <w:proofErr w:type="spellEnd"/>
            <w:r w:rsidRPr="00E07008">
              <w:rPr>
                <w:i/>
                <w:color w:val="000000"/>
                <w:sz w:val="22"/>
                <w:szCs w:val="22"/>
                <w:lang w:eastAsia="ru-RU"/>
              </w:rPr>
              <w:t xml:space="preserve"> матрац воздушный (с компрессором)</w:t>
            </w:r>
          </w:p>
          <w:p w:rsidR="00380CB6" w:rsidRPr="00E07008" w:rsidRDefault="00380CB6" w:rsidP="00822A2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Противопролежневый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матрац должен быть предназначен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Он может быть использован в 24-часовом режиме ухода за инвалидом. 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Противопролежневый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матрац должен обеспечивать инвалиду опору при низком контактном давлении с помощью отдельных групп надувных камер (баллонов), плавно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сдувающихся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</w:t>
            </w:r>
            <w:r w:rsidRPr="00E0700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ускоряя процесс заживления пораженных участков. Должно быть наличие в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противопролежневом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матраце системы вентиляционных отверстий, которые должны обеспечивать подсушивающее и охлаждающее действие на покровы кожи инвалида. Наполняемость внутреннего объема должен быть – воздух.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Противопролежневый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матрац должен быть укомплектован малошумным, непрерывно работающим воздушным компрессором, обеспечивающим возможность регулировки давления в ячейках матраца в зависимости от веса пациента. Максимальная допустимая нагрузка на изделие должно быть- не менее 120 кг. Ячеистый матрац (камеры разделены на ячейки) должны иметь не менее 130 воздушных ячеек с вентиляционными (лазерными) отверстиями. Габаритные размеры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противопролежневых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матрацев в рабочем состоянии должны </w:t>
            </w:r>
            <w:proofErr w:type="gramStart"/>
            <w:r w:rsidRPr="00E07008">
              <w:rPr>
                <w:color w:val="000000"/>
                <w:sz w:val="22"/>
                <w:szCs w:val="22"/>
                <w:lang w:eastAsia="ru-RU"/>
              </w:rPr>
              <w:t>быть:  Длина</w:t>
            </w:r>
            <w:proofErr w:type="gramEnd"/>
            <w:r w:rsidRPr="00E07008">
              <w:rPr>
                <w:color w:val="000000"/>
                <w:sz w:val="22"/>
                <w:szCs w:val="22"/>
                <w:lang w:eastAsia="ru-RU"/>
              </w:rPr>
              <w:t>: не менее 1800мм.  Ширина: не менее 840 мм.  Толщина: не менее 60 мм.</w:t>
            </w:r>
          </w:p>
          <w:p w:rsidR="00380CB6" w:rsidRPr="00E07008" w:rsidRDefault="00380CB6" w:rsidP="00822A2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7008">
              <w:rPr>
                <w:color w:val="000000"/>
                <w:sz w:val="22"/>
                <w:szCs w:val="22"/>
                <w:lang w:eastAsia="ru-RU"/>
              </w:rPr>
              <w:t>Должно быть Соответствие ГОСТ Р 50444-92 (разд.3,4) "Приборы, аппараты и оборудование медицинские. Общие технические условия", ГОСТ Р 50267.0-92 "Изделия медицинские электрические. Часть 1. Общие требования безопасности.</w:t>
            </w:r>
          </w:p>
        </w:tc>
        <w:tc>
          <w:tcPr>
            <w:tcW w:w="332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84" w:type="pct"/>
          </w:tcPr>
          <w:p w:rsidR="00380CB6" w:rsidRPr="00E07008" w:rsidRDefault="00380CB6" w:rsidP="00822A28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E07008">
              <w:rPr>
                <w:rFonts w:eastAsia="Calibri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426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2 479,82</w:t>
            </w:r>
          </w:p>
        </w:tc>
        <w:tc>
          <w:tcPr>
            <w:tcW w:w="645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3 223 766,00</w:t>
            </w:r>
          </w:p>
        </w:tc>
      </w:tr>
      <w:tr w:rsidR="00E07008" w:rsidRPr="00E07008" w:rsidTr="00E07008">
        <w:trPr>
          <w:trHeight w:val="559"/>
        </w:trPr>
        <w:tc>
          <w:tcPr>
            <w:tcW w:w="203" w:type="pct"/>
          </w:tcPr>
          <w:p w:rsidR="00380CB6" w:rsidRPr="00E07008" w:rsidRDefault="00380CB6" w:rsidP="00822A28">
            <w:pPr>
              <w:keepLines/>
              <w:widowControl w:val="0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934" w:type="pct"/>
          </w:tcPr>
          <w:p w:rsidR="00380CB6" w:rsidRPr="00E07008" w:rsidRDefault="00380CB6" w:rsidP="00822A28">
            <w:pPr>
              <w:rPr>
                <w:sz w:val="22"/>
                <w:szCs w:val="22"/>
              </w:rPr>
            </w:pPr>
            <w:proofErr w:type="spellStart"/>
            <w:r w:rsidRPr="00E07008">
              <w:rPr>
                <w:sz w:val="22"/>
                <w:szCs w:val="22"/>
              </w:rPr>
              <w:t>Противопролежневая</w:t>
            </w:r>
            <w:proofErr w:type="spellEnd"/>
            <w:r w:rsidRPr="00E07008">
              <w:rPr>
                <w:sz w:val="22"/>
                <w:szCs w:val="22"/>
              </w:rPr>
              <w:t xml:space="preserve"> подушка полиуретановая</w:t>
            </w:r>
          </w:p>
        </w:tc>
        <w:tc>
          <w:tcPr>
            <w:tcW w:w="2176" w:type="pct"/>
          </w:tcPr>
          <w:p w:rsidR="00380CB6" w:rsidRPr="00E07008" w:rsidRDefault="00380CB6" w:rsidP="00822A28">
            <w:pPr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008">
              <w:rPr>
                <w:i/>
                <w:color w:val="000000"/>
                <w:sz w:val="22"/>
                <w:szCs w:val="22"/>
                <w:lang w:eastAsia="ru-RU"/>
              </w:rPr>
              <w:t>Противопролежневая</w:t>
            </w:r>
            <w:proofErr w:type="spellEnd"/>
            <w:r w:rsidRPr="00E07008">
              <w:rPr>
                <w:i/>
                <w:color w:val="000000"/>
                <w:sz w:val="22"/>
                <w:szCs w:val="22"/>
                <w:lang w:eastAsia="ru-RU"/>
              </w:rPr>
              <w:t xml:space="preserve"> подушка полиуретановая</w:t>
            </w:r>
          </w:p>
          <w:p w:rsidR="00380CB6" w:rsidRPr="00E07008" w:rsidRDefault="00380CB6" w:rsidP="00822A2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Противопролежневая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подушка 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Противопролежневая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подушка должна обеспечивать комфорт и устойчивое положение для инвалидов, длительно эксплуатирующих кресла-коляски, разгружает поясничный отдел позвоночника при длительном сидении на одном месте. Наполнение внутреннего объема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противопролежневой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подушки должен быть –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вязкоэластичный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упругий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пенополиуретан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. 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Вязкоэластичный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пенополиуретан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за счет эффекта «памяти» должен принимать форму тела сидящего человека и увеличивает площадь опоры. Это должно способствовать уменьшению вертикальной нагрузки на позвоночный столб. Благодаря равномерному распределению </w:t>
            </w:r>
            <w:r w:rsidRPr="00E0700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давления на все отделы позвоночника и область малого таза нормализуется тонус мышц спины, что должно приводить к улучшению циркуляции крови и ликвидации застоя крови в областях малого таза. Подушка должна иметь анатомическую форму -профильное основание со стабильной основой и два углубления для задней поверхности бедра. Такая конструкция должна обеспечивать стабильность </w:t>
            </w:r>
            <w:proofErr w:type="gramStart"/>
            <w:r w:rsidRPr="00E07008">
              <w:rPr>
                <w:color w:val="000000"/>
                <w:sz w:val="22"/>
                <w:szCs w:val="22"/>
                <w:lang w:eastAsia="ru-RU"/>
              </w:rPr>
              <w:t>положения</w:t>
            </w:r>
            <w:proofErr w:type="gram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сидящего и одновременно улучшает его осанку. Максимальная допустимая нагрузка на изделие – не менее 120 кг. Длина: не менее 370 мм; Ширина: не менее 370 мм; Высота: не менее 40 мм.</w:t>
            </w:r>
          </w:p>
          <w:p w:rsidR="00380CB6" w:rsidRPr="00E07008" w:rsidRDefault="00380CB6" w:rsidP="00822A2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7008">
              <w:rPr>
                <w:color w:val="000000"/>
                <w:sz w:val="22"/>
                <w:szCs w:val="22"/>
                <w:lang w:eastAsia="ru-RU"/>
              </w:rPr>
              <w:t>Должно быть Соответствие ГОСТ ISO 10993-1-</w:t>
            </w:r>
            <w:proofErr w:type="gramStart"/>
            <w:r w:rsidRPr="00E07008">
              <w:rPr>
                <w:color w:val="000000"/>
                <w:sz w:val="22"/>
                <w:szCs w:val="22"/>
                <w:lang w:eastAsia="ru-RU"/>
              </w:rPr>
              <w:t>2011  "</w:t>
            </w:r>
            <w:proofErr w:type="gram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цитотоксичность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: методы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in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vitro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52770-2016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332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84" w:type="pct"/>
          </w:tcPr>
          <w:p w:rsidR="00380CB6" w:rsidRPr="00E07008" w:rsidRDefault="00380CB6" w:rsidP="00822A28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E07008">
              <w:rPr>
                <w:rFonts w:eastAsia="Calibri"/>
                <w:sz w:val="22"/>
                <w:szCs w:val="22"/>
                <w:lang w:eastAsia="en-US"/>
              </w:rPr>
              <w:t>490</w:t>
            </w:r>
          </w:p>
        </w:tc>
        <w:tc>
          <w:tcPr>
            <w:tcW w:w="426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1 302,22</w:t>
            </w:r>
          </w:p>
        </w:tc>
        <w:tc>
          <w:tcPr>
            <w:tcW w:w="645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638 087,80</w:t>
            </w:r>
          </w:p>
        </w:tc>
      </w:tr>
      <w:tr w:rsidR="00E07008" w:rsidRPr="00E07008" w:rsidTr="00E07008">
        <w:trPr>
          <w:trHeight w:val="559"/>
        </w:trPr>
        <w:tc>
          <w:tcPr>
            <w:tcW w:w="203" w:type="pct"/>
          </w:tcPr>
          <w:p w:rsidR="00380CB6" w:rsidRPr="00E07008" w:rsidRDefault="00380CB6" w:rsidP="00822A28">
            <w:pPr>
              <w:keepLines/>
              <w:widowControl w:val="0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934" w:type="pct"/>
          </w:tcPr>
          <w:p w:rsidR="00380CB6" w:rsidRPr="00E07008" w:rsidRDefault="00380CB6" w:rsidP="00822A28">
            <w:pPr>
              <w:rPr>
                <w:sz w:val="22"/>
                <w:szCs w:val="22"/>
              </w:rPr>
            </w:pPr>
            <w:proofErr w:type="spellStart"/>
            <w:r w:rsidRPr="00E07008">
              <w:rPr>
                <w:sz w:val="22"/>
                <w:szCs w:val="22"/>
              </w:rPr>
              <w:t>Противопролежневая</w:t>
            </w:r>
            <w:proofErr w:type="spellEnd"/>
            <w:r w:rsidRPr="00E07008">
              <w:rPr>
                <w:sz w:val="22"/>
                <w:szCs w:val="22"/>
              </w:rPr>
              <w:t xml:space="preserve"> подушка </w:t>
            </w:r>
            <w:proofErr w:type="spellStart"/>
            <w:r w:rsidRPr="00E07008">
              <w:rPr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2176" w:type="pct"/>
          </w:tcPr>
          <w:p w:rsidR="00380CB6" w:rsidRPr="00E07008" w:rsidRDefault="00380CB6" w:rsidP="00822A28">
            <w:pPr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008">
              <w:rPr>
                <w:i/>
                <w:color w:val="000000"/>
                <w:sz w:val="22"/>
                <w:szCs w:val="22"/>
                <w:lang w:eastAsia="ru-RU"/>
              </w:rPr>
              <w:t>Противопролежневая</w:t>
            </w:r>
            <w:proofErr w:type="spellEnd"/>
            <w:r w:rsidRPr="00E07008">
              <w:rPr>
                <w:i/>
                <w:color w:val="000000"/>
                <w:sz w:val="22"/>
                <w:szCs w:val="22"/>
                <w:lang w:eastAsia="ru-RU"/>
              </w:rPr>
              <w:t xml:space="preserve"> подушка </w:t>
            </w:r>
            <w:proofErr w:type="spellStart"/>
            <w:r w:rsidRPr="00E07008">
              <w:rPr>
                <w:i/>
                <w:color w:val="000000"/>
                <w:sz w:val="22"/>
                <w:szCs w:val="22"/>
                <w:lang w:eastAsia="ru-RU"/>
              </w:rPr>
              <w:t>гелевая</w:t>
            </w:r>
            <w:proofErr w:type="spellEnd"/>
          </w:p>
          <w:p w:rsidR="00380CB6" w:rsidRPr="00E07008" w:rsidRDefault="00380CB6" w:rsidP="00822A2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Противопролежневая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подушка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гелевая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большой степени подвержены риску их возникновения.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Противопролежневая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подушка должна обеспечивать комфорт и устойчивое положение для инвалидов, длительно или краткосрочно эксплуатирующих кресла-коляски, разгружает поясничный отдел позвоночника при длительном использовании кресла-коляски, или длительном сидении на одном месте. Подушка должна быть изготовлена из поролона, имеющую </w:t>
            </w:r>
            <w:r w:rsidRPr="00E0700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поверхность в форме ячеек. Внутренний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гелевый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слой должен создавать профилактический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противопролежневый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эффект и должен иметь непромокаемое плащевое покрытие.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Противопролежневая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подушка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гелевая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должна обеспечивать прохладу и удобство посадочной поверхности, применяется при профилактике первых стадий пролежней, а также для размещения в кресле-коляске и включает водонепроницаемый съемочный чехол. Максимальная допустимая нагрузка на изделие – не менее 120 кг.  Длина: не менее 370 мм.  Ширина: не менее 370 мм.  Высота: не менее 40 мм.</w:t>
            </w:r>
          </w:p>
          <w:p w:rsidR="00380CB6" w:rsidRPr="00E07008" w:rsidRDefault="00380CB6" w:rsidP="00822A2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7008">
              <w:rPr>
                <w:color w:val="000000"/>
                <w:sz w:val="22"/>
                <w:szCs w:val="22"/>
                <w:lang w:eastAsia="ru-RU"/>
              </w:rPr>
              <w:t>Должно быть Соответствие ГОСТ ISO 10993-1-</w:t>
            </w:r>
            <w:proofErr w:type="gramStart"/>
            <w:r w:rsidRPr="00E07008">
              <w:rPr>
                <w:color w:val="000000"/>
                <w:sz w:val="22"/>
                <w:szCs w:val="22"/>
                <w:lang w:eastAsia="ru-RU"/>
              </w:rPr>
              <w:t>2011  "</w:t>
            </w:r>
            <w:proofErr w:type="gram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цитотоксичность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: методы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in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vitro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52770-2016 "Изделия медицинские. Требования безопасности. Методы санитарно-</w:t>
            </w:r>
            <w:proofErr w:type="gramStart"/>
            <w:r w:rsidRPr="00E07008">
              <w:rPr>
                <w:color w:val="000000"/>
                <w:sz w:val="22"/>
                <w:szCs w:val="22"/>
                <w:lang w:eastAsia="ru-RU"/>
              </w:rPr>
              <w:t>химических  и</w:t>
            </w:r>
            <w:proofErr w:type="gram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</w:tc>
        <w:tc>
          <w:tcPr>
            <w:tcW w:w="332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84" w:type="pct"/>
          </w:tcPr>
          <w:p w:rsidR="00380CB6" w:rsidRPr="00E07008" w:rsidRDefault="00380CB6" w:rsidP="00822A28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E07008">
              <w:rPr>
                <w:rFonts w:eastAsia="Calibri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426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1 364,66</w:t>
            </w:r>
          </w:p>
        </w:tc>
        <w:tc>
          <w:tcPr>
            <w:tcW w:w="645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191 052,40</w:t>
            </w:r>
          </w:p>
        </w:tc>
      </w:tr>
      <w:tr w:rsidR="00E07008" w:rsidRPr="00E07008" w:rsidTr="00E07008">
        <w:trPr>
          <w:trHeight w:val="559"/>
        </w:trPr>
        <w:tc>
          <w:tcPr>
            <w:tcW w:w="203" w:type="pct"/>
          </w:tcPr>
          <w:p w:rsidR="00380CB6" w:rsidRPr="00E07008" w:rsidRDefault="00380CB6" w:rsidP="00822A28">
            <w:pPr>
              <w:keepLines/>
              <w:widowControl w:val="0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934" w:type="pct"/>
          </w:tcPr>
          <w:p w:rsidR="00380CB6" w:rsidRPr="00E07008" w:rsidRDefault="00380CB6" w:rsidP="00822A28">
            <w:pPr>
              <w:rPr>
                <w:sz w:val="22"/>
                <w:szCs w:val="22"/>
              </w:rPr>
            </w:pPr>
            <w:proofErr w:type="spellStart"/>
            <w:r w:rsidRPr="00E07008">
              <w:rPr>
                <w:sz w:val="22"/>
                <w:szCs w:val="22"/>
              </w:rPr>
              <w:t>Противопролежневая</w:t>
            </w:r>
            <w:proofErr w:type="spellEnd"/>
            <w:r w:rsidRPr="00E07008">
              <w:rPr>
                <w:sz w:val="22"/>
                <w:szCs w:val="22"/>
              </w:rPr>
              <w:t xml:space="preserve"> подушка воздушная</w:t>
            </w:r>
          </w:p>
        </w:tc>
        <w:tc>
          <w:tcPr>
            <w:tcW w:w="2176" w:type="pct"/>
          </w:tcPr>
          <w:p w:rsidR="00380CB6" w:rsidRPr="00E07008" w:rsidRDefault="00380CB6" w:rsidP="00822A28">
            <w:pPr>
              <w:jc w:val="both"/>
              <w:rPr>
                <w:i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008">
              <w:rPr>
                <w:i/>
                <w:color w:val="000000"/>
                <w:sz w:val="22"/>
                <w:szCs w:val="22"/>
                <w:lang w:eastAsia="ru-RU"/>
              </w:rPr>
              <w:t>Противопролежневая</w:t>
            </w:r>
            <w:proofErr w:type="spellEnd"/>
            <w:r w:rsidRPr="00E07008">
              <w:rPr>
                <w:i/>
                <w:color w:val="000000"/>
                <w:sz w:val="22"/>
                <w:szCs w:val="22"/>
                <w:lang w:eastAsia="ru-RU"/>
              </w:rPr>
              <w:t xml:space="preserve"> подушка воздушная</w:t>
            </w:r>
          </w:p>
          <w:p w:rsidR="00380CB6" w:rsidRPr="00E07008" w:rsidRDefault="00380CB6" w:rsidP="00822A2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Противопролежневая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подушка предназначена для инвалидов с патологией опорно-двигательного аппарата, вынужденных длительное время находится в кресле-коляске, подвергнутых риску развития пролежней. Изделие состоит из небольших надувных камер, в которые компрессором попеременно нагнетается и устраняется воздух. Такое механическое воздействие способствует улучшению кровообращению тканей, предотвращая застойные явления и развитие пролежней. Подушка соответствует размерам кресла-коляски, обеспечивает защиту спины, копчика и посадочной поверхности. Глубокое погружение достигается путем поддержания внутреннего давления воздуха в подушке, не </w:t>
            </w:r>
            <w:r w:rsidRPr="00E07008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позволяя любой части тела, особенно костным выступам, прикоснутся к базе опоры.  Наполнение внутреннего объема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противопролежневой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подушки – воздух. Максимальная допустимая нагрузка на изделие – не менее 120 кг. Длина: не менее 370мм.  Ширина: не менее 370мм.  Высота: не менее 40 мм.</w:t>
            </w:r>
          </w:p>
          <w:p w:rsidR="00380CB6" w:rsidRPr="00E07008" w:rsidRDefault="00380CB6" w:rsidP="00822A28">
            <w:pPr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Должно быть Соответствие ГОСТ Р 52770-2016 "Изделия медицинские. Требования безопасности. Методы санитарно-химических и </w:t>
            </w:r>
            <w:proofErr w:type="spellStart"/>
            <w:r w:rsidRPr="00E07008">
              <w:rPr>
                <w:color w:val="000000"/>
                <w:sz w:val="22"/>
                <w:szCs w:val="22"/>
                <w:lang w:eastAsia="ru-RU"/>
              </w:rPr>
              <w:t>токсилогических</w:t>
            </w:r>
            <w:proofErr w:type="spellEnd"/>
            <w:r w:rsidRPr="00E07008">
              <w:rPr>
                <w:color w:val="000000"/>
                <w:sz w:val="22"/>
                <w:szCs w:val="22"/>
                <w:lang w:eastAsia="ru-RU"/>
              </w:rPr>
              <w:t xml:space="preserve"> испытаний".</w:t>
            </w:r>
          </w:p>
        </w:tc>
        <w:tc>
          <w:tcPr>
            <w:tcW w:w="332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84" w:type="pct"/>
          </w:tcPr>
          <w:p w:rsidR="00380CB6" w:rsidRPr="00E07008" w:rsidRDefault="00380CB6" w:rsidP="00822A28">
            <w:pPr>
              <w:keepNext/>
              <w:keepLines/>
              <w:rPr>
                <w:rFonts w:eastAsia="Calibri"/>
                <w:sz w:val="22"/>
                <w:szCs w:val="22"/>
                <w:lang w:eastAsia="en-US"/>
              </w:rPr>
            </w:pPr>
            <w:r w:rsidRPr="00E07008">
              <w:rPr>
                <w:rFonts w:eastAsia="Calibri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426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1 138,27</w:t>
            </w:r>
          </w:p>
        </w:tc>
        <w:tc>
          <w:tcPr>
            <w:tcW w:w="645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07008">
              <w:rPr>
                <w:sz w:val="22"/>
                <w:szCs w:val="22"/>
              </w:rPr>
              <w:t>193 505,90</w:t>
            </w:r>
          </w:p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E07008" w:rsidRPr="00E07008" w:rsidTr="00E07008">
        <w:trPr>
          <w:trHeight w:val="132"/>
        </w:trPr>
        <w:tc>
          <w:tcPr>
            <w:tcW w:w="3313" w:type="pct"/>
            <w:gridSpan w:val="3"/>
          </w:tcPr>
          <w:p w:rsidR="00380CB6" w:rsidRPr="00E07008" w:rsidRDefault="00380CB6" w:rsidP="00822A28">
            <w:pPr>
              <w:jc w:val="both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E07008">
              <w:rPr>
                <w:b/>
                <w:color w:val="000000"/>
                <w:sz w:val="22"/>
                <w:szCs w:val="22"/>
                <w:lang w:eastAsia="ru-RU"/>
              </w:rPr>
              <w:lastRenderedPageBreak/>
              <w:t>Итого:</w:t>
            </w:r>
          </w:p>
        </w:tc>
        <w:tc>
          <w:tcPr>
            <w:tcW w:w="332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84" w:type="pct"/>
          </w:tcPr>
          <w:p w:rsidR="00380CB6" w:rsidRPr="00E07008" w:rsidRDefault="00380CB6" w:rsidP="00822A28">
            <w:pPr>
              <w:keepNext/>
              <w:keepLines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07008">
              <w:rPr>
                <w:rFonts w:eastAsia="Calibri"/>
                <w:b/>
                <w:sz w:val="22"/>
                <w:szCs w:val="22"/>
                <w:lang w:eastAsia="en-US"/>
              </w:rPr>
              <w:t>2400</w:t>
            </w:r>
          </w:p>
        </w:tc>
        <w:tc>
          <w:tcPr>
            <w:tcW w:w="426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5" w:type="pct"/>
          </w:tcPr>
          <w:p w:rsidR="00380CB6" w:rsidRPr="00E07008" w:rsidRDefault="00380CB6" w:rsidP="00822A28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  <w:r w:rsidRPr="00E07008">
              <w:rPr>
                <w:b/>
                <w:sz w:val="22"/>
                <w:szCs w:val="22"/>
              </w:rPr>
              <w:t>6 771 694,10</w:t>
            </w:r>
          </w:p>
        </w:tc>
      </w:tr>
    </w:tbl>
    <w:p w:rsidR="00380CB6" w:rsidRPr="00E07008" w:rsidRDefault="00380CB6" w:rsidP="00380CB6">
      <w:pPr>
        <w:keepLines/>
        <w:widowControl w:val="0"/>
        <w:ind w:firstLine="425"/>
        <w:jc w:val="both"/>
        <w:rPr>
          <w:sz w:val="22"/>
          <w:szCs w:val="22"/>
        </w:rPr>
      </w:pPr>
    </w:p>
    <w:p w:rsidR="00380CB6" w:rsidRPr="00E07008" w:rsidRDefault="00380CB6" w:rsidP="00380CB6">
      <w:pPr>
        <w:suppressAutoHyphens/>
        <w:ind w:firstLine="709"/>
        <w:jc w:val="both"/>
        <w:rPr>
          <w:sz w:val="22"/>
          <w:szCs w:val="22"/>
          <w:lang w:eastAsia="en-US"/>
        </w:rPr>
      </w:pPr>
      <w:r w:rsidRPr="00E07008">
        <w:rPr>
          <w:sz w:val="22"/>
          <w:szCs w:val="22"/>
          <w:lang w:eastAsia="en-US"/>
        </w:rPr>
        <w:t xml:space="preserve">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инвалиду. </w:t>
      </w:r>
    </w:p>
    <w:p w:rsidR="00380CB6" w:rsidRPr="00E07008" w:rsidRDefault="00380CB6" w:rsidP="00380CB6">
      <w:pPr>
        <w:suppressAutoHyphens/>
        <w:ind w:firstLine="680"/>
        <w:jc w:val="center"/>
        <w:rPr>
          <w:b/>
          <w:sz w:val="22"/>
          <w:szCs w:val="22"/>
        </w:rPr>
      </w:pPr>
      <w:bookmarkStart w:id="0" w:name="_GoBack"/>
      <w:bookmarkEnd w:id="0"/>
    </w:p>
    <w:p w:rsidR="00380CB6" w:rsidRPr="00E07008" w:rsidRDefault="00380CB6" w:rsidP="00380CB6">
      <w:pPr>
        <w:suppressAutoHyphens/>
        <w:ind w:firstLine="680"/>
        <w:jc w:val="center"/>
        <w:rPr>
          <w:b/>
          <w:sz w:val="22"/>
          <w:szCs w:val="22"/>
        </w:rPr>
      </w:pPr>
      <w:r w:rsidRPr="00E07008">
        <w:rPr>
          <w:b/>
          <w:sz w:val="22"/>
          <w:szCs w:val="22"/>
        </w:rPr>
        <w:t xml:space="preserve">2.Требования к качеству и </w:t>
      </w:r>
      <w:r w:rsidRPr="00E07008">
        <w:rPr>
          <w:b/>
          <w:bCs/>
          <w:sz w:val="22"/>
          <w:szCs w:val="22"/>
        </w:rPr>
        <w:t>безопасности товара</w:t>
      </w:r>
      <w:r w:rsidRPr="00E07008">
        <w:rPr>
          <w:b/>
          <w:sz w:val="22"/>
          <w:szCs w:val="22"/>
        </w:rPr>
        <w:t>.</w:t>
      </w:r>
    </w:p>
    <w:p w:rsidR="00380CB6" w:rsidRPr="00E07008" w:rsidRDefault="00380CB6" w:rsidP="00380CB6">
      <w:pPr>
        <w:suppressAutoHyphens/>
        <w:ind w:firstLine="680"/>
        <w:jc w:val="center"/>
        <w:rPr>
          <w:b/>
          <w:sz w:val="22"/>
          <w:szCs w:val="22"/>
        </w:rPr>
      </w:pPr>
    </w:p>
    <w:p w:rsidR="00380CB6" w:rsidRPr="00E07008" w:rsidRDefault="00380CB6" w:rsidP="00380CB6">
      <w:pPr>
        <w:suppressAutoHyphens/>
        <w:ind w:firstLine="680"/>
        <w:jc w:val="both"/>
        <w:rPr>
          <w:sz w:val="22"/>
          <w:szCs w:val="22"/>
        </w:rPr>
      </w:pPr>
      <w:r w:rsidRPr="00E07008">
        <w:rPr>
          <w:sz w:val="22"/>
          <w:szCs w:val="22"/>
        </w:rPr>
        <w:t>При использовании изделий по назначению не должно быть создано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380CB6" w:rsidRPr="00E07008" w:rsidRDefault="00380CB6" w:rsidP="00380CB6">
      <w:pPr>
        <w:suppressAutoHyphens/>
        <w:ind w:firstLine="680"/>
        <w:jc w:val="both"/>
        <w:rPr>
          <w:sz w:val="22"/>
          <w:szCs w:val="22"/>
        </w:rPr>
      </w:pPr>
      <w:r w:rsidRPr="00E07008">
        <w:rPr>
          <w:sz w:val="22"/>
          <w:szCs w:val="22"/>
        </w:rPr>
        <w:t xml:space="preserve">При поставке Товара должны быть представлены: действующие регистрационные удостоверения, выданные Росздравнадзором, в соответствии со ст. 38 Федерального закона от 21.11.2011 № 323-ФЗ и в соответствии с постановлением правительства от 27.12.2012    № 1416   (приложить копии регистрационных удостоверений к заявке участника размещения заказа),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законодательством, а также инструкция по применению изделия на русском языке. </w:t>
      </w:r>
    </w:p>
    <w:p w:rsidR="00380CB6" w:rsidRPr="00E07008" w:rsidRDefault="00380CB6" w:rsidP="00380CB6">
      <w:pPr>
        <w:suppressAutoHyphens/>
        <w:autoSpaceDE w:val="0"/>
        <w:ind w:firstLine="680"/>
        <w:jc w:val="center"/>
        <w:rPr>
          <w:sz w:val="22"/>
          <w:szCs w:val="22"/>
        </w:rPr>
      </w:pPr>
      <w:r w:rsidRPr="00E07008">
        <w:rPr>
          <w:b/>
          <w:bCs/>
          <w:sz w:val="22"/>
          <w:szCs w:val="22"/>
        </w:rPr>
        <w:t>3.Требования к размерам, упаковке, отгрузке товара.</w:t>
      </w:r>
      <w:r w:rsidRPr="00E07008">
        <w:rPr>
          <w:sz w:val="22"/>
          <w:szCs w:val="22"/>
        </w:rPr>
        <w:t xml:space="preserve"> </w:t>
      </w:r>
    </w:p>
    <w:p w:rsidR="00380CB6" w:rsidRPr="00E07008" w:rsidRDefault="00380CB6" w:rsidP="00380CB6">
      <w:pPr>
        <w:widowControl w:val="0"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sz w:val="22"/>
          <w:szCs w:val="22"/>
        </w:rPr>
      </w:pPr>
      <w:r w:rsidRPr="00E07008">
        <w:rPr>
          <w:sz w:val="22"/>
          <w:szCs w:val="22"/>
        </w:rPr>
        <w:t>Маркировка, упаковка, хранение и транспортировка изделий к месту выдачи инвалидам (ветеранам) должна осуществляться с соблюдением требований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380CB6" w:rsidRPr="00E07008" w:rsidRDefault="00380CB6" w:rsidP="00380CB6">
      <w:pPr>
        <w:suppressAutoHyphens/>
        <w:ind w:firstLine="680"/>
        <w:jc w:val="both"/>
        <w:rPr>
          <w:sz w:val="22"/>
          <w:szCs w:val="22"/>
        </w:rPr>
      </w:pPr>
      <w:r w:rsidRPr="00E07008">
        <w:rPr>
          <w:sz w:val="22"/>
          <w:szCs w:val="22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380CB6" w:rsidRPr="00E07008" w:rsidRDefault="00380CB6" w:rsidP="00380CB6">
      <w:pPr>
        <w:suppressAutoHyphens/>
        <w:ind w:right="142" w:firstLine="680"/>
        <w:jc w:val="both"/>
        <w:rPr>
          <w:sz w:val="22"/>
          <w:szCs w:val="22"/>
        </w:rPr>
      </w:pPr>
      <w:r w:rsidRPr="00E07008">
        <w:rPr>
          <w:sz w:val="22"/>
          <w:szCs w:val="22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380CB6" w:rsidRPr="00E07008" w:rsidRDefault="00380CB6" w:rsidP="00380CB6">
      <w:pPr>
        <w:suppressAutoHyphens/>
        <w:autoSpaceDE w:val="0"/>
        <w:ind w:left="132" w:firstLine="680"/>
        <w:jc w:val="center"/>
        <w:rPr>
          <w:b/>
          <w:bCs/>
          <w:sz w:val="22"/>
          <w:szCs w:val="22"/>
        </w:rPr>
      </w:pPr>
    </w:p>
    <w:p w:rsidR="00380CB6" w:rsidRPr="00E07008" w:rsidRDefault="00380CB6" w:rsidP="00380CB6">
      <w:pPr>
        <w:suppressAutoHyphens/>
        <w:autoSpaceDE w:val="0"/>
        <w:ind w:left="132" w:firstLine="680"/>
        <w:jc w:val="center"/>
        <w:rPr>
          <w:b/>
          <w:bCs/>
          <w:sz w:val="22"/>
          <w:szCs w:val="22"/>
        </w:rPr>
      </w:pPr>
      <w:r w:rsidRPr="00E07008">
        <w:rPr>
          <w:b/>
          <w:bCs/>
          <w:sz w:val="22"/>
          <w:szCs w:val="22"/>
        </w:rPr>
        <w:t>4.Требования к сроку и (или) объему предоставленных гарантий качества товара.</w:t>
      </w:r>
    </w:p>
    <w:p w:rsidR="00380CB6" w:rsidRPr="00E07008" w:rsidRDefault="00380CB6" w:rsidP="00380CB6">
      <w:pPr>
        <w:tabs>
          <w:tab w:val="left" w:pos="-420"/>
        </w:tabs>
        <w:suppressAutoHyphens/>
        <w:autoSpaceDE w:val="0"/>
        <w:ind w:firstLine="680"/>
        <w:jc w:val="both"/>
        <w:rPr>
          <w:sz w:val="22"/>
          <w:szCs w:val="22"/>
        </w:rPr>
      </w:pPr>
      <w:r w:rsidRPr="00E07008">
        <w:rPr>
          <w:sz w:val="22"/>
          <w:szCs w:val="22"/>
        </w:rPr>
        <w:t xml:space="preserve">Гарантийный срок эксплуатации -  не менее 24 месяцев. </w:t>
      </w:r>
    </w:p>
    <w:p w:rsidR="00380CB6" w:rsidRPr="00E07008" w:rsidRDefault="00380CB6" w:rsidP="00380CB6">
      <w:pPr>
        <w:tabs>
          <w:tab w:val="left" w:pos="-420"/>
        </w:tabs>
        <w:suppressAutoHyphens/>
        <w:autoSpaceDE w:val="0"/>
        <w:ind w:firstLine="680"/>
        <w:jc w:val="both"/>
        <w:rPr>
          <w:sz w:val="22"/>
          <w:szCs w:val="22"/>
        </w:rPr>
      </w:pPr>
      <w:r w:rsidRPr="00E07008">
        <w:rPr>
          <w:sz w:val="22"/>
          <w:szCs w:val="22"/>
        </w:rPr>
        <w:lastRenderedPageBreak/>
        <w:t xml:space="preserve">Обязательно наличие гарантийных талонов, дающих право на бесплатный ремонт Товара во время гарантийного срока. </w:t>
      </w:r>
    </w:p>
    <w:p w:rsidR="00380CB6" w:rsidRPr="00E07008" w:rsidRDefault="00380CB6" w:rsidP="00380CB6">
      <w:pPr>
        <w:tabs>
          <w:tab w:val="left" w:pos="-420"/>
        </w:tabs>
        <w:suppressAutoHyphens/>
        <w:autoSpaceDE w:val="0"/>
        <w:ind w:firstLine="680"/>
        <w:jc w:val="both"/>
        <w:rPr>
          <w:sz w:val="22"/>
          <w:szCs w:val="22"/>
        </w:rPr>
      </w:pPr>
      <w:r w:rsidRPr="00E07008">
        <w:rPr>
          <w:bCs/>
          <w:sz w:val="22"/>
          <w:szCs w:val="22"/>
        </w:rPr>
        <w:t>Срок выполнения гарантийного ремонта со дня обращения Получателя не должен превышать 20 рабочих дней.</w:t>
      </w:r>
      <w:r w:rsidRPr="00E07008">
        <w:rPr>
          <w:sz w:val="22"/>
          <w:szCs w:val="22"/>
        </w:rPr>
        <w:t xml:space="preserve"> </w:t>
      </w:r>
    </w:p>
    <w:p w:rsidR="00380CB6" w:rsidRPr="00E07008" w:rsidRDefault="00380CB6" w:rsidP="00380CB6">
      <w:pPr>
        <w:tabs>
          <w:tab w:val="left" w:pos="-420"/>
        </w:tabs>
        <w:suppressAutoHyphens/>
        <w:autoSpaceDE w:val="0"/>
        <w:ind w:firstLine="680"/>
        <w:jc w:val="both"/>
        <w:rPr>
          <w:sz w:val="22"/>
          <w:szCs w:val="22"/>
        </w:rPr>
      </w:pPr>
      <w:r w:rsidRPr="00E07008">
        <w:rPr>
          <w:sz w:val="22"/>
          <w:szCs w:val="22"/>
        </w:rPr>
        <w:t xml:space="preserve">В течение 5 (пяти) рабочих дней с момента подписания Контракта поставщик должен предоставить Заказчику адреса специализированных мастерских, в которые следует обращаться для гарантийного ремонта Товара или устранения неисправностей. Обеспечение возможности ремонта, устранения недостатков при обеспечении Получателей Товаром </w:t>
      </w:r>
      <w:r w:rsidRPr="00E07008">
        <w:rPr>
          <w:spacing w:val="-4"/>
          <w:sz w:val="22"/>
          <w:szCs w:val="22"/>
        </w:rPr>
        <w:t>осуществляется в соответствии с Федеральным законом от 07.02.1992 № 2300-1 «О защите прав потребителей».</w:t>
      </w:r>
    </w:p>
    <w:p w:rsidR="00380CB6" w:rsidRPr="00E07008" w:rsidRDefault="00380CB6" w:rsidP="00380CB6">
      <w:pPr>
        <w:suppressAutoHyphens/>
        <w:ind w:left="150" w:right="150" w:firstLine="680"/>
        <w:jc w:val="center"/>
        <w:rPr>
          <w:b/>
          <w:sz w:val="22"/>
          <w:szCs w:val="22"/>
        </w:rPr>
      </w:pPr>
    </w:p>
    <w:p w:rsidR="00380CB6" w:rsidRPr="00E07008" w:rsidRDefault="00380CB6" w:rsidP="00380CB6">
      <w:pPr>
        <w:suppressAutoHyphens/>
        <w:ind w:left="150" w:right="150" w:firstLine="680"/>
        <w:jc w:val="center"/>
        <w:rPr>
          <w:b/>
          <w:sz w:val="22"/>
          <w:szCs w:val="22"/>
        </w:rPr>
      </w:pPr>
      <w:r w:rsidRPr="00E07008">
        <w:rPr>
          <w:b/>
          <w:sz w:val="22"/>
          <w:szCs w:val="22"/>
        </w:rPr>
        <w:t>5.Требования к месту, условиям и срокам (периодам) поставки Товара.</w:t>
      </w:r>
    </w:p>
    <w:p w:rsidR="00380CB6" w:rsidRPr="00E07008" w:rsidRDefault="00380CB6" w:rsidP="00380CB6">
      <w:pPr>
        <w:suppressAutoHyphens/>
        <w:ind w:firstLine="680"/>
        <w:jc w:val="both"/>
        <w:rPr>
          <w:bCs/>
          <w:sz w:val="22"/>
          <w:szCs w:val="22"/>
        </w:rPr>
      </w:pPr>
      <w:r w:rsidRPr="00E07008">
        <w:rPr>
          <w:bCs/>
          <w:sz w:val="22"/>
          <w:szCs w:val="22"/>
        </w:rPr>
        <w:t>Место поставки товара Краснодарский край:</w:t>
      </w:r>
    </w:p>
    <w:p w:rsidR="00380CB6" w:rsidRPr="00E07008" w:rsidRDefault="00380CB6" w:rsidP="00380CB6">
      <w:pPr>
        <w:suppressAutoHyphens/>
        <w:ind w:firstLine="680"/>
        <w:jc w:val="both"/>
        <w:rPr>
          <w:bCs/>
          <w:sz w:val="22"/>
          <w:szCs w:val="22"/>
        </w:rPr>
      </w:pPr>
      <w:r w:rsidRPr="00E07008">
        <w:rPr>
          <w:bCs/>
          <w:sz w:val="22"/>
          <w:szCs w:val="22"/>
        </w:rPr>
        <w:t>- по месту жительства Получателя,</w:t>
      </w:r>
    </w:p>
    <w:p w:rsidR="00380CB6" w:rsidRPr="00E07008" w:rsidRDefault="00380CB6" w:rsidP="00380CB6">
      <w:pPr>
        <w:suppressAutoHyphens/>
        <w:ind w:firstLine="680"/>
        <w:jc w:val="both"/>
        <w:rPr>
          <w:bCs/>
          <w:sz w:val="22"/>
          <w:szCs w:val="22"/>
        </w:rPr>
      </w:pPr>
      <w:r w:rsidRPr="00E07008">
        <w:rPr>
          <w:bCs/>
          <w:sz w:val="22"/>
          <w:szCs w:val="22"/>
        </w:rPr>
        <w:t>- в пунктах выдачи (в случае выбора Получателем способа получения Товара через пункт выдачи Товара).</w:t>
      </w:r>
    </w:p>
    <w:p w:rsidR="00380CB6" w:rsidRPr="00E07008" w:rsidRDefault="00380CB6" w:rsidP="00380CB6">
      <w:pPr>
        <w:suppressAutoHyphens/>
        <w:ind w:firstLine="680"/>
        <w:jc w:val="both"/>
        <w:rPr>
          <w:bCs/>
          <w:sz w:val="22"/>
          <w:szCs w:val="22"/>
        </w:rPr>
      </w:pPr>
      <w:r w:rsidRPr="00E07008">
        <w:rPr>
          <w:bCs/>
          <w:sz w:val="22"/>
          <w:szCs w:val="22"/>
        </w:rPr>
        <w:t>Сроки (периоды) поставки товара: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31.07.2020.</w:t>
      </w:r>
    </w:p>
    <w:p w:rsidR="00380CB6" w:rsidRPr="00E07008" w:rsidRDefault="00380CB6" w:rsidP="00380CB6">
      <w:pPr>
        <w:suppressAutoHyphens/>
        <w:ind w:firstLine="680"/>
        <w:jc w:val="both"/>
        <w:rPr>
          <w:bCs/>
          <w:sz w:val="22"/>
          <w:szCs w:val="22"/>
        </w:rPr>
      </w:pPr>
      <w:r w:rsidRPr="00E07008">
        <w:rPr>
          <w:bCs/>
          <w:sz w:val="22"/>
          <w:szCs w:val="22"/>
        </w:rPr>
        <w:t>В течение 10 (Десяти) рабочих дней с даты подписания Контракта предоставить на склад Поставщика 100% количества Товара, указанного в Контракте для возможности Заказчику провести выборочную проверку поставляемого Товара.</w:t>
      </w:r>
    </w:p>
    <w:p w:rsidR="000964E1" w:rsidRPr="00E07008" w:rsidRDefault="000964E1">
      <w:pPr>
        <w:rPr>
          <w:sz w:val="22"/>
          <w:szCs w:val="22"/>
        </w:rPr>
      </w:pPr>
    </w:p>
    <w:sectPr w:rsidR="000964E1" w:rsidRPr="00E07008" w:rsidSect="00380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F8"/>
    <w:rsid w:val="000964E1"/>
    <w:rsid w:val="0016263B"/>
    <w:rsid w:val="00380CB6"/>
    <w:rsid w:val="008120F8"/>
    <w:rsid w:val="00E0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52D75-FD2C-4DC0-ABAF-FA18BE24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2152</Words>
  <Characters>12271</Characters>
  <Application>Microsoft Office Word</Application>
  <DocSecurity>0</DocSecurity>
  <Lines>102</Lines>
  <Paragraphs>28</Paragraphs>
  <ScaleCrop>false</ScaleCrop>
  <Company>Krasnodar region office of FSI</Company>
  <LinksUpToDate>false</LinksUpToDate>
  <CharactersWithSpaces>14395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4</cp:revision>
  <dcterms:created xsi:type="dcterms:W3CDTF">2019-12-11T06:09:00Z</dcterms:created>
  <dcterms:modified xsi:type="dcterms:W3CDTF">2019-12-11T06:12:00Z</dcterms:modified>
</cp:coreProperties>
</file>