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AF" w:rsidRPr="009477CB" w:rsidRDefault="00CE0CAF" w:rsidP="009477CB">
      <w:pPr>
        <w:pStyle w:val="2"/>
        <w:rPr>
          <w:color w:val="000000" w:themeColor="text1"/>
          <w:szCs w:val="24"/>
        </w:rPr>
      </w:pPr>
      <w:r w:rsidRPr="009477CB">
        <w:rPr>
          <w:color w:val="000000" w:themeColor="text1"/>
          <w:szCs w:val="24"/>
        </w:rPr>
        <w:t>Техническое задание</w:t>
      </w:r>
    </w:p>
    <w:p w:rsidR="00CE0CAF" w:rsidRPr="009477CB" w:rsidRDefault="00CE0CAF" w:rsidP="009477CB">
      <w:pPr>
        <w:keepLines/>
        <w:widowControl w:val="0"/>
        <w:suppressAutoHyphens/>
        <w:rPr>
          <w:b/>
          <w:color w:val="000000" w:themeColor="text1"/>
        </w:rPr>
      </w:pPr>
    </w:p>
    <w:p w:rsidR="00CE0CAF" w:rsidRPr="009477CB" w:rsidRDefault="00CE0CAF" w:rsidP="009477CB">
      <w:pPr>
        <w:pStyle w:val="a3"/>
        <w:keepLines/>
        <w:widowControl w:val="0"/>
        <w:jc w:val="center"/>
      </w:pPr>
      <w:r w:rsidRPr="009477CB">
        <w:t>Выполнение работ по обеспечению инвалидов Краснодарского края протезами верхних конечностей в 2020 году</w:t>
      </w:r>
    </w:p>
    <w:p w:rsidR="00CE0CAF" w:rsidRPr="009477CB" w:rsidRDefault="00CE0CAF" w:rsidP="009477CB">
      <w:pPr>
        <w:keepLines/>
        <w:widowControl w:val="0"/>
        <w:tabs>
          <w:tab w:val="left" w:pos="3828"/>
          <w:tab w:val="center" w:pos="5244"/>
        </w:tabs>
        <w:jc w:val="both"/>
        <w:rPr>
          <w:color w:val="FFFFFF" w:themeColor="background1"/>
        </w:rPr>
      </w:pPr>
      <w:r w:rsidRPr="009477CB">
        <w:rPr>
          <w:color w:val="FFFFFF" w:themeColor="background1"/>
        </w:rPr>
        <w:t>декларированию или сертификации в соответствии с требованиями законодательства Российской Федерации.</w:t>
      </w:r>
    </w:p>
    <w:tbl>
      <w:tblPr>
        <w:tblStyle w:val="a4"/>
        <w:tblW w:w="5000" w:type="pct"/>
        <w:tblInd w:w="0" w:type="dxa"/>
        <w:tblLook w:val="04A0" w:firstRow="1" w:lastRow="0" w:firstColumn="1" w:lastColumn="0" w:noHBand="0" w:noVBand="1"/>
      </w:tblPr>
      <w:tblGrid>
        <w:gridCol w:w="687"/>
        <w:gridCol w:w="2426"/>
        <w:gridCol w:w="8788"/>
        <w:gridCol w:w="993"/>
        <w:gridCol w:w="1666"/>
      </w:tblGrid>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 п/п</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Наименование товара, работ, услуг</w:t>
            </w:r>
          </w:p>
        </w:tc>
        <w:tc>
          <w:tcPr>
            <w:tcW w:w="3018"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Описание объекта закупки</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Ед</w:t>
            </w:r>
            <w:r w:rsidR="009477CB">
              <w:t>.</w:t>
            </w:r>
            <w:r w:rsidRPr="009477CB">
              <w:t xml:space="preserve"> изм</w:t>
            </w:r>
            <w:r w:rsidR="009477CB">
              <w:t>.</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Цена за ед</w:t>
            </w:r>
            <w:r w:rsidR="009477CB">
              <w:t>.</w:t>
            </w:r>
            <w:r w:rsidRPr="009477CB">
              <w:t xml:space="preserve"> изм</w:t>
            </w:r>
            <w:r w:rsidR="009477CB">
              <w:t>.</w:t>
            </w:r>
            <w:bookmarkStart w:id="0" w:name="_GoBack"/>
            <w:bookmarkEnd w:id="0"/>
            <w:r w:rsidRPr="009477CB">
              <w:t>, руб.</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pPr>
            <w:r w:rsidRPr="009477CB">
              <w:t>1.</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Протез кисти косметический, в том числе при вычленении и частичном вычленении кисти</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должна в мельчайших деталях соответствовать живой человеческой руке (цвет кожи, папиллярные линии, вены, ногти), оболочка должна иметь скрытую встроенную металлическую застежку-молнию, крепление должно быть подгоночное с помощью обхвата запястья, приемная гильза должна быть сформована внутри косметической оболочки с помощью двухкомпонентного формовочного силикона.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rPr>
                <w:bCs/>
              </w:rPr>
              <w:t>34283,45</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pPr>
            <w:r w:rsidRPr="009477CB">
              <w:t>2.</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Протез кисти рабочий, в том числе при вычленении и частичном вычленении кисти</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Протез кисти рабочий должен быть выполнен из: гильзы индивидуальной кожаной с шинами с размером, манжетка, набор рабочих приспособлений</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38532,40</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pPr>
            <w:r w:rsidRPr="009477CB">
              <w:t>3.</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Протез предплечья косметический</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 xml:space="preserve">Протез предплечья косметический должен быть: с кистью со скользящим покрытием и акриловыми ногтями, должен изготавливаться по индивидуальному гипсовому слепку, должен состоять из индивидуально подогнанных приёмной и несущей гильз, изготовленных из литьевого слоистого пластика на основе акриловых смол, силиконовой косметической кисти, кистевого адаптера, крепление, ниспадающее. Косметическая оболочка кисти должна быть выполнена из высокопрочного силикона телесного цвета, армированного нейлоновой сеткой. Косметическая оболочка кисти должна иметь акриловые ногти, допускающие нанесение цветного лака для ногтей и специальное скользящее покрытие, способствующее легкому одеванию одежды.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w:t>
            </w:r>
            <w:r w:rsidRPr="009477CB">
              <w:lastRenderedPageBreak/>
              <w:t>регулироваться за счет внутренней арматуры и заполнения вспененным полимером внутренних полостей косметической оболочки</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lastRenderedPageBreak/>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81343,79</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pPr>
            <w:r w:rsidRPr="009477CB">
              <w:lastRenderedPageBreak/>
              <w:t>4.</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Протез предплечья косметический</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Должен изготавливаться по индивидуальному гипсовому слепку, состоять из индивидуально подогнанных приёмной и несущей гильз, изготовленных из литьевого слоистого пластика на основе акриловых смол, силиконовой косметической кисти, кистевого адаптера, крепление, ниспадающее. 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должна в мельчайших деталях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69856,22</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rPr>
                <w:lang w:eastAsia="en-US"/>
              </w:rPr>
            </w:pPr>
            <w:r w:rsidRPr="009477CB">
              <w:rPr>
                <w:lang w:eastAsia="en-US"/>
              </w:rPr>
              <w:t>5.</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jc w:val="center"/>
              <w:rPr>
                <w:rFonts w:eastAsiaTheme="minorHAnsi"/>
                <w:lang w:eastAsia="en-US"/>
              </w:rPr>
            </w:pPr>
            <w:r w:rsidRPr="009477CB">
              <w:t>Протез предплечья активный (тяговый)</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 xml:space="preserve">Должен изготавливаться по индивидуальному гипсовому слепку, состоять из индивидуально подогнанных приёмной и несущей гильз, изготовленных из литьевого слоистого пластика на основе акриловых смол, тяговой кисти с высокопрочной силиконовой косметической оболочкой телесного цвета, армированной нейлоновой сеткой и бандажного крепления для тягового управления кисти. Кисть должна быть с тяговой системой управления, обеспечивать сведение и разведение пальцев и пассивную ротацию с регулируемой </w:t>
            </w:r>
            <w:proofErr w:type="spellStart"/>
            <w:r w:rsidRPr="009477CB">
              <w:t>тугоподвижностью</w:t>
            </w:r>
            <w:proofErr w:type="spellEnd"/>
            <w:r w:rsidRPr="009477CB">
              <w:t xml:space="preserve">. Кисть должна иметь пружинный </w:t>
            </w:r>
            <w:proofErr w:type="spellStart"/>
            <w:r w:rsidRPr="009477CB">
              <w:t>схват</w:t>
            </w:r>
            <w:proofErr w:type="spellEnd"/>
            <w:r w:rsidRPr="009477CB">
              <w:t xml:space="preserve">, конструкция кисти предусматривает возможность ступенчатого изменения усилия концевого </w:t>
            </w:r>
            <w:proofErr w:type="spellStart"/>
            <w:r w:rsidRPr="009477CB">
              <w:t>схвата</w:t>
            </w:r>
            <w:proofErr w:type="spellEnd"/>
            <w:r w:rsidRPr="009477CB">
              <w:t>. Пальцы кисти должны иметь надежную фиксацию от несанкционированного раскрытия при ослаблении кистевой тяги. Внешне оболочка кисти должна быть в мельчайших деталях соответствует живой человеческой руке (цвет кожи, папиллярные линии, вены, ногти, суставы), крепление тяги должно быть индивидуальное подгоночное на плечевой пояс, крепление приемной гильзы по типу ниспадающей. Управление протезом должно осуществляться за счет собственных усилий пациента</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116380,08</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rPr>
                <w:lang w:eastAsia="en-US"/>
              </w:rPr>
            </w:pPr>
            <w:r w:rsidRPr="009477CB">
              <w:rPr>
                <w:lang w:eastAsia="en-US"/>
              </w:rPr>
              <w:t>6.</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jc w:val="center"/>
              <w:rPr>
                <w:rFonts w:eastAsiaTheme="minorHAnsi"/>
                <w:lang w:eastAsia="en-US"/>
              </w:rPr>
            </w:pPr>
            <w:r w:rsidRPr="009477CB">
              <w:t>Протез предплечья с внешним источником энергии</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 xml:space="preserve">Должен состоять из индивидуально подогнанных приёмной и несущей гильз, изготовленных из литьевого слоистого пластика на основе акриловых смол, комплекта РСУ для длинной культи предплечья, кисти с электронной системой управления, с высокопрочной силиконовой косметической оболочкой телесного цвета, армированной нейлоновой сеткой. Приемная гильза предплечья должна быть выполнена по типу ниспадающей, с ремешковым креплением, протез должен иметь </w:t>
            </w:r>
            <w:r w:rsidRPr="009477CB">
              <w:lastRenderedPageBreak/>
              <w:t>биоэлектрическое управление работы кисти. Источник питания должен встраиваться в несущую гильзу. Изменение электрических потенциалов, возникающее при сокращении мышц культи предплечья, должно позволять разводить и сводить пальцы искусственной кисти с фиксацией пальцев в положение «</w:t>
            </w:r>
            <w:proofErr w:type="spellStart"/>
            <w:r w:rsidRPr="009477CB">
              <w:t>Схват</w:t>
            </w:r>
            <w:proofErr w:type="spellEnd"/>
            <w:r w:rsidRPr="009477CB">
              <w:t xml:space="preserve">», конструкция кисти должна обеспечивать пассивную бесступенчатую ротацию с регулируемой </w:t>
            </w:r>
            <w:proofErr w:type="spellStart"/>
            <w:r w:rsidRPr="009477CB">
              <w:t>тугоподвижностью</w:t>
            </w:r>
            <w:proofErr w:type="spellEnd"/>
            <w:r w:rsidRPr="009477CB">
              <w:t>. Внешне косметическая оболочка кисти должна в мельчайших деталях соответствовать живой человеческой руке (цвет кожи, папиллярные линии, вены, ногти, суставы)</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lastRenderedPageBreak/>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240744,80</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rPr>
                <w:lang w:eastAsia="en-US"/>
              </w:rPr>
            </w:pPr>
            <w:r w:rsidRPr="009477CB">
              <w:rPr>
                <w:lang w:eastAsia="en-US"/>
              </w:rPr>
              <w:lastRenderedPageBreak/>
              <w:t>7.</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jc w:val="center"/>
              <w:rPr>
                <w:rFonts w:eastAsiaTheme="minorHAnsi"/>
                <w:lang w:eastAsia="en-US"/>
              </w:rPr>
            </w:pPr>
            <w:r w:rsidRPr="009477CB">
              <w:t>Протез плеча косметический</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 xml:space="preserve">Должна изготавливаться по индивидуальному слепку, состоять из косметической кисти, узла локоть-предплечье (со ступенчатой фиксацией сгибания - разгибания), приемной и несущей гильз, полиуретановой облицовки (поролон), покрытия облицовки (чулки </w:t>
            </w:r>
            <w:proofErr w:type="spellStart"/>
            <w:r w:rsidRPr="009477CB">
              <w:t>перлоновые</w:t>
            </w:r>
            <w:proofErr w:type="spellEnd"/>
            <w:r w:rsidRPr="009477CB">
              <w:t xml:space="preserve">), крепление должно быть индивидуальное подгоночное, с подмышечной петлей через здоровое </w:t>
            </w:r>
            <w:proofErr w:type="spellStart"/>
            <w:r w:rsidRPr="009477CB">
              <w:t>надплечье</w:t>
            </w:r>
            <w:proofErr w:type="spellEnd"/>
            <w:r w:rsidRPr="009477CB">
              <w:t>. Материал приемной и несущей гильз должен состоять из литьевого слоистого пластика на основе акриловых смол. 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должна в мельчайших деталях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111789,14</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rPr>
                <w:lang w:eastAsia="en-US"/>
              </w:rPr>
            </w:pPr>
            <w:r w:rsidRPr="009477CB">
              <w:rPr>
                <w:lang w:eastAsia="en-US"/>
              </w:rPr>
              <w:t>8.</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jc w:val="center"/>
              <w:rPr>
                <w:rFonts w:eastAsiaTheme="minorHAnsi"/>
                <w:lang w:eastAsia="en-US"/>
              </w:rPr>
            </w:pPr>
            <w:r w:rsidRPr="009477CB">
              <w:t>Протез плеча активный (тяговый)</w:t>
            </w:r>
          </w:p>
        </w:tc>
        <w:tc>
          <w:tcPr>
            <w:tcW w:w="3018"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rPr>
                <w:rFonts w:eastAsiaTheme="minorHAnsi"/>
                <w:lang w:eastAsia="en-US"/>
              </w:rPr>
            </w:pPr>
            <w:r w:rsidRPr="009477CB">
              <w:t xml:space="preserve">Должен изготавливаться по индивидуальному гипсовому слепку, должен состоять: из индивидуально подогнанных приёмной и несущей гильз, изготовленных из литьевого слоистого пластика на основе акриловых смол, тяговой кисти с формообразующей и косметической оболочкой из поливинилхлорида повышенной </w:t>
            </w:r>
            <w:proofErr w:type="spellStart"/>
            <w:r w:rsidRPr="009477CB">
              <w:t>косметичности</w:t>
            </w:r>
            <w:proofErr w:type="spellEnd"/>
            <w:r w:rsidRPr="009477CB">
              <w:t xml:space="preserve"> телесного цвета и пластмассового узла локоть-предплечье телесного цвета. Локтевой узел должен иметь осевой искусственный сустав, с механизмом многоступенчатой фиксации, что позволяет менять и фиксировать положения под разным углом здоровой рукой. Искусственная кисть должна быть одно тяговая с металлическим каркасом, должна иметь пассивную ротацию, раскрытие и закрытие пальцев кисти должно осуществляться с помощью тяги, крепление должно быть индивидуальное подгоночное, с подмышечной петлей через здоровое </w:t>
            </w:r>
            <w:proofErr w:type="spellStart"/>
            <w:r w:rsidRPr="009477CB">
              <w:t>надплечье</w:t>
            </w:r>
            <w:proofErr w:type="spellEnd"/>
            <w:r w:rsidRPr="009477CB">
              <w:t>, крепление тяги к креплению протеза должно быть индивидуальное, регулируемое. Управление протезом должно осуществляться за счет собственных усилий пациента</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158198,61</w:t>
            </w:r>
          </w:p>
        </w:tc>
      </w:tr>
      <w:tr w:rsidR="009477CB" w:rsidRPr="009477CB" w:rsidTr="00AE13B0">
        <w:tc>
          <w:tcPr>
            <w:tcW w:w="236"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rPr>
                <w:lang w:eastAsia="en-US"/>
              </w:rPr>
            </w:pPr>
            <w:r w:rsidRPr="009477CB">
              <w:rPr>
                <w:lang w:eastAsia="en-US"/>
              </w:rPr>
              <w:lastRenderedPageBreak/>
              <w:t>9.</w:t>
            </w:r>
          </w:p>
        </w:tc>
        <w:tc>
          <w:tcPr>
            <w:tcW w:w="833"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jc w:val="center"/>
              <w:rPr>
                <w:rFonts w:eastAsiaTheme="minorHAnsi"/>
                <w:lang w:eastAsia="en-US"/>
              </w:rPr>
            </w:pPr>
            <w:r w:rsidRPr="009477CB">
              <w:t>Протез плеча с внешним источником энергии</w:t>
            </w:r>
          </w:p>
        </w:tc>
        <w:tc>
          <w:tcPr>
            <w:tcW w:w="3018"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r w:rsidRPr="009477CB">
              <w:t>Должен состоять из индивидуально подогнанных приёмной и несущей гильз, изготовленных из литьевого слоистого пластика на основе акриловых смол, пластмассового узла локоть-предплечье телесного цвета, кисти с электронной системой управления с высокопрочной силиконовой косметической оболочкой телесного цвета, армированной нейлоновой сеткой. Внешне оболочка кисти должна в мельчайших деталях соответствовать живой человеческой руке (цвет кожи, папиллярные линии, вены, ногти, суставы). Узел локоть-предплечье должен быть снабжен пассивным локтевым замком, позволяющим фиксировать 13 различных углов сгибания-разгибания с фиксацией через каждые 8 градусов, протез должен иметь биоэлектрическое управление работы кисти. Источник питания должен встраиваться в несущую гильзу. Изменение электрических потенциалов, возникающее при сокращении мышц культи плеча, должно позволять разводить и сводить пальцы искусственной кисти с фиксацией пальцев в положение «</w:t>
            </w:r>
            <w:proofErr w:type="spellStart"/>
            <w:r w:rsidRPr="009477CB">
              <w:t>Схват</w:t>
            </w:r>
            <w:proofErr w:type="spellEnd"/>
            <w:r w:rsidRPr="009477CB">
              <w:t xml:space="preserve">», конструкция кисти должна обеспечивать пассивную бесступенчатую ротацию с регулируемой </w:t>
            </w:r>
            <w:proofErr w:type="spellStart"/>
            <w:r w:rsidRPr="009477CB">
              <w:t>тугоподвижностью</w:t>
            </w:r>
            <w:proofErr w:type="spellEnd"/>
            <w:r w:rsidRPr="009477CB">
              <w:t>, крепление протеза должно быть индивидуальное - подгоночное, с подмышечной петлей через здоровую руку</w:t>
            </w:r>
          </w:p>
        </w:tc>
        <w:tc>
          <w:tcPr>
            <w:tcW w:w="341"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Штука</w:t>
            </w:r>
          </w:p>
        </w:tc>
        <w:tc>
          <w:tcPr>
            <w:tcW w:w="572" w:type="pct"/>
            <w:tcBorders>
              <w:top w:val="single" w:sz="4" w:space="0" w:color="auto"/>
              <w:left w:val="single" w:sz="4" w:space="0" w:color="auto"/>
              <w:bottom w:val="single" w:sz="4" w:space="0" w:color="auto"/>
              <w:right w:val="single" w:sz="4" w:space="0" w:color="auto"/>
            </w:tcBorders>
            <w:hideMark/>
          </w:tcPr>
          <w:p w:rsidR="00CE0CAF" w:rsidRPr="009477CB" w:rsidRDefault="00CE0CAF" w:rsidP="009477CB">
            <w:pPr>
              <w:keepLines/>
              <w:widowControl w:val="0"/>
              <w:jc w:val="center"/>
            </w:pPr>
            <w:r w:rsidRPr="009477CB">
              <w:t>265965,73</w:t>
            </w:r>
          </w:p>
        </w:tc>
      </w:tr>
      <w:tr w:rsidR="00CE0CAF" w:rsidRPr="009477CB" w:rsidTr="009477CB">
        <w:trPr>
          <w:trHeight w:val="481"/>
        </w:trPr>
        <w:tc>
          <w:tcPr>
            <w:tcW w:w="4428" w:type="pct"/>
            <w:gridSpan w:val="4"/>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keepLines/>
              <w:widowControl w:val="0"/>
              <w:jc w:val="left"/>
              <w:rPr>
                <w:b/>
              </w:rPr>
            </w:pPr>
            <w:r w:rsidRPr="009477CB">
              <w:rPr>
                <w:b/>
              </w:rPr>
              <w:t>ИТОГО</w:t>
            </w:r>
            <w:r w:rsidR="00F95C86" w:rsidRPr="009477CB">
              <w:rPr>
                <w:b/>
              </w:rPr>
              <w:t xml:space="preserve"> НЦЕ</w:t>
            </w:r>
            <w:r w:rsidRPr="009477CB">
              <w:rPr>
                <w:b/>
              </w:rPr>
              <w:t>:</w:t>
            </w:r>
          </w:p>
        </w:tc>
        <w:tc>
          <w:tcPr>
            <w:tcW w:w="572" w:type="pct"/>
            <w:tcBorders>
              <w:top w:val="single" w:sz="4" w:space="0" w:color="auto"/>
              <w:left w:val="single" w:sz="4" w:space="0" w:color="auto"/>
              <w:bottom w:val="single" w:sz="4" w:space="0" w:color="auto"/>
              <w:right w:val="single" w:sz="4" w:space="0" w:color="auto"/>
            </w:tcBorders>
            <w:vAlign w:val="center"/>
            <w:hideMark/>
          </w:tcPr>
          <w:p w:rsidR="00CE0CAF" w:rsidRPr="009477CB" w:rsidRDefault="00CE0CAF" w:rsidP="009477CB">
            <w:pPr>
              <w:keepLines/>
              <w:widowControl w:val="0"/>
              <w:jc w:val="center"/>
              <w:rPr>
                <w:b/>
              </w:rPr>
            </w:pPr>
            <w:r w:rsidRPr="009477CB">
              <w:rPr>
                <w:b/>
              </w:rPr>
              <w:t>1 117 094,22</w:t>
            </w:r>
          </w:p>
        </w:tc>
      </w:tr>
      <w:tr w:rsidR="00F95C86" w:rsidRPr="009477CB" w:rsidTr="009477CB">
        <w:trPr>
          <w:trHeight w:val="481"/>
        </w:trPr>
        <w:tc>
          <w:tcPr>
            <w:tcW w:w="4428" w:type="pct"/>
            <w:gridSpan w:val="4"/>
            <w:tcBorders>
              <w:top w:val="single" w:sz="4" w:space="0" w:color="auto"/>
              <w:left w:val="single" w:sz="4" w:space="0" w:color="auto"/>
              <w:bottom w:val="single" w:sz="4" w:space="0" w:color="auto"/>
              <w:right w:val="single" w:sz="4" w:space="0" w:color="auto"/>
            </w:tcBorders>
            <w:vAlign w:val="center"/>
          </w:tcPr>
          <w:p w:rsidR="00F95C86" w:rsidRPr="009477CB" w:rsidRDefault="00F95C86" w:rsidP="009477CB">
            <w:pPr>
              <w:keepLines/>
              <w:widowControl w:val="0"/>
              <w:rPr>
                <w:b/>
              </w:rPr>
            </w:pPr>
            <w:r w:rsidRPr="009477CB">
              <w:rPr>
                <w:b/>
              </w:rPr>
              <w:t>Максимальное значение цены контракта:</w:t>
            </w:r>
          </w:p>
        </w:tc>
        <w:tc>
          <w:tcPr>
            <w:tcW w:w="572" w:type="pct"/>
            <w:tcBorders>
              <w:top w:val="single" w:sz="4" w:space="0" w:color="auto"/>
              <w:left w:val="single" w:sz="4" w:space="0" w:color="auto"/>
              <w:bottom w:val="single" w:sz="4" w:space="0" w:color="auto"/>
              <w:right w:val="single" w:sz="4" w:space="0" w:color="auto"/>
            </w:tcBorders>
            <w:vAlign w:val="center"/>
          </w:tcPr>
          <w:p w:rsidR="00F95C86" w:rsidRPr="009477CB" w:rsidRDefault="00F95C86" w:rsidP="009477CB">
            <w:pPr>
              <w:keepLines/>
              <w:widowControl w:val="0"/>
              <w:jc w:val="center"/>
              <w:rPr>
                <w:b/>
              </w:rPr>
            </w:pPr>
            <w:r w:rsidRPr="009477CB">
              <w:rPr>
                <w:b/>
              </w:rPr>
              <w:t>20 000 000,00</w:t>
            </w:r>
          </w:p>
        </w:tc>
      </w:tr>
    </w:tbl>
    <w:p w:rsidR="00CE0CAF" w:rsidRPr="009477CB" w:rsidRDefault="00CE0CAF" w:rsidP="009477CB">
      <w:pPr>
        <w:ind w:firstLine="709"/>
        <w:jc w:val="both"/>
      </w:pPr>
      <w:r w:rsidRPr="009477CB">
        <w:t xml:space="preserve">В соответствии с приказом Минтруда России от 13.02.2018 № 85н «Об утверждении сроков пользования техническими средствами реабилитации, протезами и </w:t>
      </w:r>
      <w:proofErr w:type="spellStart"/>
      <w:r w:rsidRPr="009477CB">
        <w:t>протезно</w:t>
      </w:r>
      <w:proofErr w:type="spellEnd"/>
      <w:r w:rsidRPr="009477CB">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CE0CAF" w:rsidRPr="009477CB" w:rsidRDefault="00CE0CAF" w:rsidP="009477CB">
      <w:pPr>
        <w:ind w:firstLine="709"/>
        <w:jc w:val="both"/>
      </w:pPr>
      <w:r w:rsidRPr="009477CB">
        <w:t>Срок изготовления протезно-ортопедического изделия не превышает 60 календарных дней со дня обращения инвалида с направлением Заказчика. Срок завершения работ не позднее 31.07.2020 года. Срок действия Направления не позднее 31.05.2020.</w:t>
      </w:r>
    </w:p>
    <w:p w:rsidR="00CE0CAF" w:rsidRPr="009477CB" w:rsidRDefault="00CE0CAF" w:rsidP="009477CB">
      <w:pPr>
        <w:ind w:firstLine="709"/>
        <w:jc w:val="both"/>
      </w:pPr>
      <w:r w:rsidRPr="009477CB">
        <w:t xml:space="preserve">Заказчик через Филиалы Заказчика предоставляет Исполнителю Заявки, которые формируются филиалами Заказчика по мере поступления заявлений от инвалидов об обеспечении Изделиями и передаются Исполнителю не реже 1 (одного) раза в месяц, но не позднее 31.05.2020 г. </w:t>
      </w:r>
      <w:r w:rsidRPr="009477CB">
        <w:rPr>
          <w:b/>
        </w:rPr>
        <w:t>Место выполнения работ</w:t>
      </w:r>
      <w:r w:rsidRPr="009477CB">
        <w:t>: Российская Федерация, Южный Федеральный округ, Краснодарский край, работы должны выполняться по месту выполнения работ в пределах Краснодарского края, протезы должны будут поставляться непосредственно Получателям. Инвалиды 1-ой группы должны обслуживаться на дому.</w:t>
      </w:r>
    </w:p>
    <w:p w:rsidR="00CE0CAF" w:rsidRPr="009477CB" w:rsidRDefault="00CE0CAF" w:rsidP="009477CB">
      <w:pPr>
        <w:widowControl w:val="0"/>
        <w:suppressAutoHyphens/>
        <w:ind w:firstLine="709"/>
        <w:jc w:val="both"/>
        <w:rPr>
          <w:color w:val="000000"/>
        </w:rPr>
      </w:pPr>
      <w:r w:rsidRPr="009477CB">
        <w:rPr>
          <w:color w:val="000000"/>
        </w:rPr>
        <w:t>Требования к качеству работ: протез верхней конечности должен соответствовать требованиям Государственного стандарта РФ ГОСТ Р 51632-2014 «Технические средства реабилитации людей с ограничениями жизнедеятельности. Общие технические требования и методы испытаний» (п.</w:t>
      </w:r>
      <w:r w:rsidRPr="009477CB">
        <w:t xml:space="preserve"> 4.1.1, п.4.4.1),</w:t>
      </w:r>
      <w:r w:rsidRPr="009477CB">
        <w:rPr>
          <w:color w:val="000000"/>
        </w:rPr>
        <w:t xml:space="preserve"> а также соответствовать Республиканскому стандарту РСФСР РСТ РСФСР 644-80 «Изделия протезно-ортопедические. Общие технические требования». </w:t>
      </w:r>
    </w:p>
    <w:p w:rsidR="00CE0CAF" w:rsidRPr="009477CB" w:rsidRDefault="00CE0CAF" w:rsidP="009477CB">
      <w:pPr>
        <w:widowControl w:val="0"/>
        <w:suppressAutoHyphens/>
        <w:ind w:firstLine="709"/>
        <w:jc w:val="both"/>
        <w:rPr>
          <w:color w:val="000000"/>
        </w:rPr>
      </w:pPr>
      <w:r w:rsidRPr="009477CB">
        <w:rPr>
          <w:color w:val="000000"/>
        </w:rPr>
        <w:lastRenderedPageBreak/>
        <w:t xml:space="preserve">Требования к техническим и функциональным характеристикам работ: выполняемые работы по обеспечению протезом верхней конечности должны содержать комплекс медицинских, технических и социальных мероприятий, проводимых с пациентами, имеющими нарушения, дефекты опорно-двигательного аппарата, в целях восстановления, компенсации ограничений их жизнедеятельности. </w:t>
      </w:r>
    </w:p>
    <w:p w:rsidR="00CE0CAF" w:rsidRPr="009477CB" w:rsidRDefault="00CE0CAF" w:rsidP="009477CB">
      <w:pPr>
        <w:widowControl w:val="0"/>
        <w:suppressAutoHyphens/>
        <w:ind w:firstLine="567"/>
        <w:jc w:val="both"/>
        <w:rPr>
          <w:color w:val="000000"/>
        </w:rPr>
      </w:pPr>
      <w:r w:rsidRPr="009477CB">
        <w:rPr>
          <w:color w:val="00000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верхних конечностей пациента с помощью протеза верхней конечности.</w:t>
      </w:r>
    </w:p>
    <w:p w:rsidR="00CE0CAF" w:rsidRPr="009477CB" w:rsidRDefault="00CE0CAF" w:rsidP="009477CB">
      <w:pPr>
        <w:widowControl w:val="0"/>
        <w:suppressAutoHyphens/>
        <w:ind w:firstLine="567"/>
        <w:jc w:val="both"/>
        <w:rPr>
          <w:color w:val="000000"/>
        </w:rPr>
      </w:pPr>
      <w:r w:rsidRPr="009477CB">
        <w:rPr>
          <w:color w:val="000000"/>
        </w:rPr>
        <w:t>Требования к результатам работ: работы по обеспечению протезом будут считаться эффективно исполнены, у инвалида: восстановлены опорная и двигательная функции конечности, созданы условия для предупреждения развития деформации и благоприятного течения болезни. Работы по обеспечению протезом должны выполняются с надлежащим качеством и в установленные сроки.</w:t>
      </w:r>
    </w:p>
    <w:p w:rsidR="00CE0CAF" w:rsidRPr="009477CB" w:rsidRDefault="00CE0CAF" w:rsidP="009477CB">
      <w:pPr>
        <w:widowControl w:val="0"/>
        <w:suppressAutoHyphens/>
        <w:ind w:firstLine="567"/>
        <w:jc w:val="both"/>
        <w:rPr>
          <w:color w:val="000000"/>
        </w:rPr>
      </w:pPr>
      <w:r w:rsidRPr="009477CB">
        <w:rPr>
          <w:color w:val="000000"/>
        </w:rPr>
        <w:t>Срок предоставления гарантии на выполненные работы должен быть: - 9 месяцев с момента выдачи изделия получателю.</w:t>
      </w:r>
    </w:p>
    <w:p w:rsidR="00CE0CAF" w:rsidRPr="009477CB" w:rsidRDefault="00CE0CAF" w:rsidP="009477CB">
      <w:pPr>
        <w:widowControl w:val="0"/>
        <w:suppressAutoHyphens/>
        <w:ind w:firstLine="567"/>
        <w:jc w:val="both"/>
      </w:pPr>
      <w:r w:rsidRPr="009477CB">
        <w:rPr>
          <w:color w:val="000000"/>
        </w:rPr>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 не более 20 рабочих дней.</w:t>
      </w:r>
    </w:p>
    <w:p w:rsidR="0023186D" w:rsidRPr="009477CB" w:rsidRDefault="0023186D" w:rsidP="009477CB"/>
    <w:sectPr w:rsidR="0023186D" w:rsidRPr="009477CB" w:rsidSect="00CE0C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B8"/>
    <w:rsid w:val="00152F75"/>
    <w:rsid w:val="0023186D"/>
    <w:rsid w:val="00324CB8"/>
    <w:rsid w:val="009477CB"/>
    <w:rsid w:val="00AE13B0"/>
    <w:rsid w:val="00CE0CAF"/>
    <w:rsid w:val="00F9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F7F14-B015-445E-A880-A394055B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AF"/>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semiHidden/>
    <w:unhideWhenUsed/>
    <w:qFormat/>
    <w:rsid w:val="00CE0CAF"/>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basedOn w:val="a0"/>
    <w:link w:val="2"/>
    <w:semiHidden/>
    <w:rsid w:val="00CE0CAF"/>
    <w:rPr>
      <w:rFonts w:ascii="Times New Roman" w:eastAsia="Times New Roman" w:hAnsi="Times New Roman" w:cs="Times New Roman"/>
      <w:b/>
      <w:bCs/>
      <w:iCs/>
      <w:sz w:val="24"/>
      <w:szCs w:val="28"/>
      <w:lang w:eastAsia="ru-RU"/>
    </w:rPr>
  </w:style>
  <w:style w:type="paragraph" w:styleId="a3">
    <w:name w:val="Normal (Web)"/>
    <w:aliases w:val="Обычный (Web)"/>
    <w:basedOn w:val="a"/>
    <w:semiHidden/>
    <w:unhideWhenUsed/>
    <w:rsid w:val="00CE0CAF"/>
  </w:style>
  <w:style w:type="table" w:styleId="a4">
    <w:name w:val="Table Grid"/>
    <w:basedOn w:val="a1"/>
    <w:uiPriority w:val="59"/>
    <w:rsid w:val="00CE0CAF"/>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9727</Characters>
  <Application>Microsoft Office Word</Application>
  <DocSecurity>0</DocSecurity>
  <Lines>81</Lines>
  <Paragraphs>22</Paragraphs>
  <ScaleCrop>false</ScaleCrop>
  <Company>Krasnodar region office of FSI</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7</cp:revision>
  <dcterms:created xsi:type="dcterms:W3CDTF">2020-02-07T10:42:00Z</dcterms:created>
  <dcterms:modified xsi:type="dcterms:W3CDTF">2020-02-07T10:45:00Z</dcterms:modified>
</cp:coreProperties>
</file>