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D23F67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>
        <w:rPr>
          <w:color w:val="000000"/>
        </w:rPr>
        <w:t xml:space="preserve">№ 005. </w:t>
      </w:r>
      <w:r w:rsidRPr="00804C39">
        <w:rPr>
          <w:color w:val="000000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болезнями системы </w:t>
      </w:r>
      <w:proofErr w:type="gramStart"/>
      <w:r w:rsidRPr="00804C39">
        <w:rPr>
          <w:color w:val="000000"/>
        </w:rPr>
        <w:t>кровообращения  в</w:t>
      </w:r>
      <w:proofErr w:type="gramEnd"/>
      <w:r w:rsidRPr="00804C39">
        <w:rPr>
          <w:color w:val="000000"/>
        </w:rPr>
        <w:t xml:space="preserve"> 2020 году</w:t>
      </w:r>
      <w:r w:rsidRPr="00C03A88">
        <w:rPr>
          <w:b/>
          <w:i/>
          <w:lang w:eastAsia="x-none"/>
        </w:rPr>
        <w:t>.</w:t>
      </w:r>
      <w:r w:rsidRPr="009116B2">
        <w:rPr>
          <w:b/>
          <w:i/>
          <w:lang w:val="x-none" w:eastAsia="x-none"/>
        </w:rPr>
        <w:t xml:space="preserve"> 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  <w:bookmarkStart w:id="0" w:name="_GoBack"/>
      <w:bookmarkEnd w:id="0"/>
    </w:p>
    <w:p w:rsidR="00D23F67" w:rsidRPr="00D23F67" w:rsidRDefault="00D23F67" w:rsidP="00D23F67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val="x-none" w:eastAsia="x-none"/>
        </w:rPr>
      </w:pPr>
      <w:r w:rsidRPr="00AA143C">
        <w:rPr>
          <w:lang w:eastAsia="x-none"/>
        </w:rPr>
        <w:t>1.</w:t>
      </w:r>
      <w:r w:rsidRPr="00AA143C">
        <w:rPr>
          <w:i/>
          <w:u w:val="single"/>
          <w:lang w:val="x-none" w:eastAsia="x-none"/>
        </w:rPr>
        <w:t xml:space="preserve"> Продолжительность </w:t>
      </w:r>
      <w:r w:rsidRPr="00D23F67">
        <w:rPr>
          <w:i/>
          <w:color w:val="000000" w:themeColor="text1"/>
          <w:u w:val="single"/>
          <w:lang w:val="x-none" w:eastAsia="x-none"/>
        </w:rPr>
        <w:t xml:space="preserve">санаторно-курортного лечения: </w:t>
      </w:r>
      <w:r w:rsidRPr="00D23F67">
        <w:rPr>
          <w:color w:val="000000" w:themeColor="text1"/>
          <w:lang w:eastAsia="x-none"/>
        </w:rPr>
        <w:t>18</w:t>
      </w:r>
      <w:r w:rsidRPr="00D23F67">
        <w:rPr>
          <w:color w:val="000000" w:themeColor="text1"/>
          <w:lang w:val="x-none" w:eastAsia="x-none"/>
        </w:rPr>
        <w:t xml:space="preserve"> д</w:t>
      </w:r>
      <w:r w:rsidRPr="00D23F67">
        <w:rPr>
          <w:color w:val="000000" w:themeColor="text1"/>
          <w:lang w:eastAsia="x-none"/>
        </w:rPr>
        <w:t>ней</w:t>
      </w:r>
      <w:r w:rsidRPr="00D23F67">
        <w:rPr>
          <w:color w:val="000000" w:themeColor="text1"/>
          <w:lang w:val="x-none" w:eastAsia="x-none"/>
        </w:rPr>
        <w:t xml:space="preserve">; </w:t>
      </w:r>
    </w:p>
    <w:p w:rsidR="00D23F67" w:rsidRPr="00D23F67" w:rsidRDefault="00D23F67" w:rsidP="00D23F67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eastAsia="x-none"/>
        </w:rPr>
      </w:pPr>
      <w:r w:rsidRPr="00D23F67">
        <w:rPr>
          <w:i/>
          <w:color w:val="000000" w:themeColor="text1"/>
          <w:u w:val="single"/>
          <w:lang w:eastAsia="x-none"/>
        </w:rPr>
        <w:t>Количество дней пребывания (койко-дней</w:t>
      </w:r>
      <w:r w:rsidRPr="00D23F67">
        <w:rPr>
          <w:color w:val="000000" w:themeColor="text1"/>
          <w:lang w:eastAsia="x-none"/>
        </w:rPr>
        <w:t>) – 3600 (койко-дней)</w:t>
      </w:r>
    </w:p>
    <w:p w:rsidR="00D23F67" w:rsidRPr="00D23F67" w:rsidRDefault="00D23F67" w:rsidP="00D23F67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eastAsia="x-none"/>
        </w:rPr>
      </w:pPr>
      <w:r w:rsidRPr="00D23F67">
        <w:rPr>
          <w:i/>
          <w:color w:val="000000" w:themeColor="text1"/>
          <w:u w:val="single"/>
          <w:lang w:eastAsia="x-none"/>
        </w:rPr>
        <w:t>Количество путевок</w:t>
      </w:r>
      <w:r w:rsidRPr="00D23F67">
        <w:rPr>
          <w:color w:val="000000" w:themeColor="text1"/>
          <w:lang w:eastAsia="x-none"/>
        </w:rPr>
        <w:t xml:space="preserve"> - 200 </w:t>
      </w:r>
      <w:proofErr w:type="gramStart"/>
      <w:r w:rsidRPr="00D23F67">
        <w:rPr>
          <w:color w:val="000000" w:themeColor="text1"/>
          <w:lang w:eastAsia="x-none"/>
        </w:rPr>
        <w:t>у.е.( пут</w:t>
      </w:r>
      <w:proofErr w:type="gramEnd"/>
      <w:r w:rsidRPr="00D23F67">
        <w:rPr>
          <w:color w:val="000000" w:themeColor="text1"/>
          <w:lang w:eastAsia="x-none"/>
        </w:rPr>
        <w:t>.)</w:t>
      </w:r>
    </w:p>
    <w:p w:rsidR="00D23F67" w:rsidRPr="00AA143C" w:rsidRDefault="00D23F67" w:rsidP="00D23F67">
      <w:pPr>
        <w:keepNext/>
        <w:tabs>
          <w:tab w:val="left" w:pos="1309"/>
        </w:tabs>
        <w:ind w:firstLine="709"/>
        <w:rPr>
          <w:lang w:eastAsia="ar-SA"/>
        </w:rPr>
      </w:pPr>
      <w:r w:rsidRPr="00AA143C">
        <w:rPr>
          <w:lang w:eastAsia="ar-SA"/>
        </w:rPr>
        <w:t>2.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>
        <w:t>ибс</w:t>
      </w:r>
      <w:proofErr w:type="spellEnd"/>
      <w: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D23F67" w:rsidRPr="00AF0DF6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rPr>
          <w:bCs/>
          <w:lang w:eastAsia="x-none"/>
        </w:rPr>
        <w:t xml:space="preserve">На основании медицинских справок </w:t>
      </w:r>
      <w:proofErr w:type="gramStart"/>
      <w:r>
        <w:rPr>
          <w:bCs/>
          <w:lang w:eastAsia="x-none"/>
        </w:rPr>
        <w:t>граждан  -</w:t>
      </w:r>
      <w:proofErr w:type="gramEnd"/>
      <w:r>
        <w:rPr>
          <w:bCs/>
          <w:lang w:eastAsia="x-none"/>
        </w:rPr>
        <w:t xml:space="preserve"> получателей государственной социальной помощи в виде набора социальных услуг,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образом, услуги по санаторно-курортному лечению граждан - получателей государственной социальной помощи в виде набора социальных услуг должны </w:t>
      </w:r>
      <w:proofErr w:type="gramStart"/>
      <w:r>
        <w:rPr>
          <w:bCs/>
          <w:lang w:eastAsia="x-none"/>
        </w:rPr>
        <w:t>быть  оказаны</w:t>
      </w:r>
      <w:proofErr w:type="gramEnd"/>
      <w:r>
        <w:rPr>
          <w:bCs/>
          <w:lang w:eastAsia="x-none"/>
        </w:rPr>
        <w:t xml:space="preserve"> в радиусе 24 километров от  г. Владикавказа.</w:t>
      </w:r>
    </w:p>
    <w:p w:rsidR="00D23F67" w:rsidRPr="00AA143C" w:rsidRDefault="00D23F67" w:rsidP="00D23F67">
      <w:pPr>
        <w:rPr>
          <w:b/>
          <w:bCs/>
        </w:rPr>
      </w:pPr>
      <w:r w:rsidRPr="00AA143C">
        <w:rPr>
          <w:b/>
          <w:bCs/>
        </w:rPr>
        <w:t xml:space="preserve">        Требования к усл</w:t>
      </w:r>
      <w:r>
        <w:rPr>
          <w:b/>
          <w:bCs/>
        </w:rPr>
        <w:t>овиям размещения и проживания:</w:t>
      </w:r>
    </w:p>
    <w:p w:rsidR="00D23F67" w:rsidRPr="00AA143C" w:rsidRDefault="00D23F67" w:rsidP="00D23F67">
      <w:pPr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  <w:r w:rsidRPr="00AA143C">
        <w:rPr>
          <w:b/>
          <w:bCs/>
          <w:sz w:val="23"/>
          <w:szCs w:val="23"/>
        </w:rPr>
        <w:t xml:space="preserve"> Общие требования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</w:t>
      </w:r>
      <w:r w:rsidRPr="005570F7">
        <w:rPr>
          <w:rFonts w:eastAsia="Arial Unicode MS"/>
          <w:kern w:val="3"/>
          <w:sz w:val="23"/>
          <w:szCs w:val="23"/>
        </w:rPr>
        <w:lastRenderedPageBreak/>
        <w:t>федеральных органов исполнительной власти.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4.1. Требования к прилегающей территории и зоне отдыха</w:t>
      </w:r>
      <w:r w:rsidRPr="005570F7">
        <w:rPr>
          <w:rFonts w:eastAsia="Arial Unicode MS"/>
          <w:kern w:val="3"/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5570F7">
        <w:rPr>
          <w:rFonts w:eastAsia="Arial Unicode MS"/>
          <w:kern w:val="3"/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5570F7">
        <w:rPr>
          <w:rFonts w:eastAsia="Arial Unicode MS"/>
          <w:kern w:val="3"/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5570F7">
        <w:rPr>
          <w:rFonts w:eastAsia="Arial Unicode MS"/>
          <w:kern w:val="3"/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5570F7">
        <w:rPr>
          <w:rFonts w:eastAsia="Arial Unicode MS"/>
          <w:kern w:val="3"/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5570F7">
        <w:rPr>
          <w:rFonts w:eastAsia="Arial Unicode MS"/>
          <w:kern w:val="3"/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4.2. Требования к зданиям, техническому оборудованию и оснащению помещений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4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53998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ind w:firstLine="709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разноуровневые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).</w:t>
      </w:r>
      <w:r w:rsidRPr="005570F7">
        <w:rPr>
          <w:rFonts w:eastAsia="Arial Unicode MS"/>
          <w:kern w:val="3"/>
          <w:sz w:val="23"/>
          <w:szCs w:val="23"/>
        </w:rPr>
        <w:br/>
        <w:t>4.2.6</w:t>
      </w:r>
      <w:proofErr w:type="gramEnd"/>
      <w:r w:rsidRPr="005570F7">
        <w:rPr>
          <w:rFonts w:eastAsia="Arial Unicode MS"/>
          <w:kern w:val="3"/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5570F7">
        <w:rPr>
          <w:rFonts w:eastAsia="Arial Unicode MS"/>
          <w:kern w:val="3"/>
          <w:sz w:val="23"/>
          <w:szCs w:val="23"/>
        </w:rPr>
        <w:br/>
        <w:t>4.2.10. Общие требования к номерам санаториев приведены в приложении Б.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Роспотребнадзора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4.2.12. Покрытия мебели - столов, кроватей, тумбочек, шкафов и т.п. - должны быть гладкими,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нетравмоопасными</w:t>
      </w:r>
      <w:proofErr w:type="spellEnd"/>
      <w:r w:rsidRPr="005570F7">
        <w:rPr>
          <w:rFonts w:eastAsia="Arial Unicode MS"/>
          <w:kern w:val="3"/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5570F7">
        <w:rPr>
          <w:rFonts w:eastAsia="Arial Unicode MS"/>
          <w:kern w:val="3"/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5570F7">
        <w:rPr>
          <w:rFonts w:eastAsia="Arial Unicode MS"/>
          <w:kern w:val="3"/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5570F7">
        <w:rPr>
          <w:rFonts w:eastAsia="Arial Unicode MS"/>
          <w:kern w:val="3"/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570F7">
        <w:rPr>
          <w:rFonts w:eastAsia="Arial Unicode MS"/>
          <w:kern w:val="3"/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(правила) проживания в средстве размещения;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>- перечень дополнительных платных услуг, их стоимость и порядок оплаты;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документов, необходимых для проживания и лечения;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расчетов с потребителями услуг и другую полезную информацию.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6. Требования безопасности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размещения;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уборки номеров, других общественных и служебных помещений;</w:t>
      </w:r>
      <w:r w:rsidRPr="005570F7">
        <w:rPr>
          <w:rFonts w:eastAsia="Arial Unicode MS"/>
          <w:kern w:val="3"/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обработки (стирки, глажения, хранения) белья;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содержания и обработки уборочного инвентаря;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удаления отходов и защиты от насекомых и грызунов;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качества питьевой воды и воды хозяйственного назначения;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5570F7">
        <w:rPr>
          <w:rFonts w:eastAsia="Arial Unicode MS"/>
          <w:kern w:val="3"/>
          <w:sz w:val="23"/>
          <w:szCs w:val="23"/>
        </w:rPr>
        <w:br/>
        <w:t xml:space="preserve">6.3. Услуги учреждений отдыха и оздоровления для детей должны соответствовать требованиям </w:t>
      </w:r>
      <w:hyperlink r:id="rId5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52887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7. Требования охраны окружающей среды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7.2. Оказание услуг 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санаториях  не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т.ч</w:t>
      </w:r>
      <w:proofErr w:type="spellEnd"/>
      <w:r w:rsidRPr="005570F7">
        <w:rPr>
          <w:rFonts w:eastAsia="Arial Unicode MS"/>
          <w:kern w:val="3"/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8. Требования к персоналу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tbl>
      <w:tblPr>
        <w:tblW w:w="9763" w:type="dxa"/>
        <w:tblCellSpacing w:w="15" w:type="dxa"/>
        <w:tblInd w:w="-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162"/>
        <w:gridCol w:w="416"/>
        <w:gridCol w:w="1045"/>
        <w:gridCol w:w="90"/>
      </w:tblGrid>
      <w:tr w:rsidR="00D23F67" w:rsidRPr="005570F7" w:rsidTr="005834A3">
        <w:trPr>
          <w:gridAfter w:val="1"/>
          <w:wAfter w:w="29" w:type="dxa"/>
          <w:trHeight w:val="710"/>
          <w:tblCellSpacing w:w="15" w:type="dxa"/>
        </w:trPr>
        <w:tc>
          <w:tcPr>
            <w:tcW w:w="8183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/>
                <w:b/>
                <w:bCs/>
                <w:kern w:val="3"/>
              </w:rPr>
              <w:t>Приложение А (обязательное). Общие требования</w:t>
            </w:r>
            <w:r w:rsidRPr="005570F7">
              <w:rPr>
                <w:rFonts w:eastAsia="Arial Unicode MS" w:cs="Tahoma"/>
                <w:b/>
                <w:bCs/>
                <w:kern w:val="3"/>
              </w:rPr>
              <w:t xml:space="preserve"> к санаториям          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зданиям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Вывеска: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Вход для гостей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наличие пандуса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автостоянки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машиномест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Требования к техническому оборудованию и оснащению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Водоснабжение (круглосуточно)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CDDD2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горячее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холодное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0D392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Канализация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Телевидение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Лифт в здании: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одного этажа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6895F" id="Прямоугольник 6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двух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BED35" id="Прямоугольник 6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пяти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туалетов: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Ресторан и/или столовая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Комната бытовых услуг (стирка, глажение)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Медицинский кабинет: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rHeight w:val="50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729E2" id="Прямоугольник 60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103D8" id="Прямоугольник 59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22B01" id="Прямоугольник 58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спинальных больных.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CEDA2" id="Прямоугольник 5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18B3C" id="Прямоугольник 5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Для санаториев с проживанием с детьми.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  <w:tr w:rsidR="00D23F67" w:rsidRPr="005570F7" w:rsidTr="005834A3">
        <w:trPr>
          <w:gridBefore w:val="1"/>
          <w:trHeight w:val="15"/>
          <w:tblCellSpacing w:w="15" w:type="dxa"/>
        </w:trPr>
        <w:tc>
          <w:tcPr>
            <w:tcW w:w="8569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b/>
                <w:bCs/>
                <w:kern w:val="3"/>
                <w:sz w:val="18"/>
                <w:szCs w:val="18"/>
              </w:rPr>
              <w:t>Приложение Б (обязательное). Общие требования к номерам санаториев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Санатории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высшей категории [</w:t>
            </w:r>
            <w:hyperlink r:id="rId6" w:history="1">
              <w:r w:rsidRPr="005570F7">
                <w:rPr>
                  <w:rFonts w:eastAsia="Arial Unicode MS" w:cs="Tahoma"/>
                  <w:color w:val="0000FF"/>
                  <w:kern w:val="3"/>
                  <w:sz w:val="18"/>
                  <w:szCs w:val="18"/>
                  <w:u w:val="single"/>
                </w:rPr>
                <w:t>4</w:t>
              </w:r>
            </w:hyperlink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]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безопасно передвигаться</w:t>
            </w:r>
            <w:proofErr w:type="gram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и использовать оборудование и оснащение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одноместного - 9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F4002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двухместного - 12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3DFB2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- 6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B4FA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Высота потолка номера: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не менее 2,5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Техническое оснащение номеров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F2252" id="Прямоугольник 47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Освещение: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естественное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искусственное: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Телевизор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Холодильник/мини-холодильник/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мини-бар</w:t>
            </w:r>
            <w:proofErr w:type="gramEnd"/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Электророзетки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Оснащение мебелью и инвентарем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Кровать (минимальные размеры)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80х190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90х200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160х190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180x200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D8E10" id="Прямоугольник 4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матрац с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наматрацником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дополнительное одеяло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65187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для багажа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Графин, стаканы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Щетки: одежная, обувная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Пепельница (ы)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4393E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справочник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Анкета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Занавес для ванны (при наличии ванны или душа в ванне)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4D6C6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Фен для сушки волос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двух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трех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шампунь, гель, туалетное мыло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Туалетная бумага: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 резервным рулоном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Крышка для унитаза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F4F3F" id="Прямоугольник 42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D23F67" w:rsidRPr="005570F7" w:rsidRDefault="00D23F67" w:rsidP="00D23F67">
      <w:pPr>
        <w:widowControl w:val="0"/>
        <w:suppressAutoHyphens/>
        <w:autoSpaceDN w:val="0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5570F7">
        <w:rPr>
          <w:rFonts w:eastAsia="Arial Unicode MS" w:cs="Tahoma"/>
          <w:b/>
          <w:bCs/>
          <w:kern w:val="3"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D23F67" w:rsidRPr="005570F7" w:rsidTr="005834A3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</w:tbl>
    <w:p w:rsidR="00D23F67" w:rsidRPr="00AA143C" w:rsidRDefault="00D23F67" w:rsidP="00D23F67">
      <w:pPr>
        <w:ind w:firstLine="709"/>
      </w:pPr>
    </w:p>
    <w:p w:rsidR="00D23F67" w:rsidRPr="00AA143C" w:rsidRDefault="00D23F67" w:rsidP="00D23F67"/>
    <w:p w:rsidR="00D23F67" w:rsidRDefault="00D23F67" w:rsidP="00D23F67">
      <w:pPr>
        <w:suppressAutoHyphens/>
        <w:spacing w:after="120"/>
        <w:rPr>
          <w:sz w:val="25"/>
          <w:szCs w:val="25"/>
        </w:rPr>
      </w:pPr>
    </w:p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462EE4"/>
    <w:rsid w:val="00C14DC7"/>
    <w:rsid w:val="00D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5" Type="http://schemas.openxmlformats.org/officeDocument/2006/relationships/hyperlink" Target="http://docs.cntd.ru/document/1200061323" TargetMode="External"/><Relationship Id="rId4" Type="http://schemas.openxmlformats.org/officeDocument/2006/relationships/hyperlink" Target="http://docs.cntd.ru/document/1200083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3383</Words>
  <Characters>19288</Characters>
  <Application>Microsoft Office Word</Application>
  <DocSecurity>0</DocSecurity>
  <Lines>160</Lines>
  <Paragraphs>45</Paragraphs>
  <ScaleCrop>false</ScaleCrop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2020-02-13T13:44:00Z</dcterms:created>
  <dcterms:modified xsi:type="dcterms:W3CDTF">2020-02-13T13:46:00Z</dcterms:modified>
</cp:coreProperties>
</file>