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39" w:rsidRDefault="00D15039" w:rsidP="00D15039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Техническое задание</w:t>
      </w:r>
    </w:p>
    <w:p w:rsidR="00D15039" w:rsidRDefault="00D15039" w:rsidP="00D15039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обеспечение техническими средствами реабилитации в 2020 году.</w:t>
      </w:r>
    </w:p>
    <w:p w:rsidR="00D15039" w:rsidRDefault="00D15039" w:rsidP="00D15039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Способ определения поставщика: Открытый конкурс.</w:t>
      </w:r>
    </w:p>
    <w:p w:rsidR="00D15039" w:rsidRDefault="00D15039" w:rsidP="00D15039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Предмет государственного контракта: Поставка технических средств реабилитации инвалидам в 2020 году: Кресло-коляска с ручным приводом  базовая комнатная, в том числе для детей-инвалидов.</w:t>
      </w:r>
    </w:p>
    <w:p w:rsidR="00D15039" w:rsidRDefault="00D15039" w:rsidP="00D15039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Количество:  200 штук. Начальная максимальная цена: 4 608 546,00 рублей.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4"/>
        <w:gridCol w:w="1032"/>
        <w:gridCol w:w="660"/>
        <w:gridCol w:w="1381"/>
      </w:tblGrid>
      <w:tr w:rsidR="00D15039" w:rsidTr="00D72670"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ед. (руб.)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(шт.)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(руб.)</w:t>
            </w:r>
          </w:p>
        </w:tc>
      </w:tr>
      <w:tr w:rsidR="00D15039" w:rsidTr="00D72670">
        <w:tc>
          <w:tcPr>
            <w:tcW w:w="6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Standard"/>
              <w:ind w:firstLine="37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D15039" w:rsidRDefault="00D15039" w:rsidP="00D72670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D15039" w:rsidRDefault="00D15039" w:rsidP="00D72670">
            <w:pPr>
              <w:pStyle w:val="21"/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D15039" w:rsidRDefault="00D15039" w:rsidP="00D72670">
            <w:pPr>
              <w:pStyle w:val="21"/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D15039" w:rsidRDefault="00D15039" w:rsidP="00D72670">
            <w:pPr>
              <w:pStyle w:val="Standard"/>
              <w:keepNext/>
              <w:spacing w:line="274" w:lineRule="exact"/>
              <w:ind w:firstLine="501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>
              <w:rPr>
                <w:rFonts w:cs="Times New Roman"/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rFonts w:cs="Times New Roman"/>
                <w:sz w:val="20"/>
                <w:szCs w:val="20"/>
                <w:u w:val="single"/>
              </w:rPr>
              <w:t>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</w:t>
            </w:r>
            <w:r>
              <w:rPr>
                <w:rFonts w:cs="Times New Roman"/>
                <w:sz w:val="20"/>
                <w:szCs w:val="20"/>
              </w:rPr>
              <w:lastRenderedPageBreak/>
              <w:t>индивидуальные регулировки коляски  не менее чем в 16 позициях: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изменение угла наклона сиденья от минус 5º до 15º;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Вес кресла-коляски без дополнительного оснащения и без подушки не более 18  кг.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D15039" w:rsidRDefault="00D15039" w:rsidP="00D72670">
            <w:pPr>
              <w:pStyle w:val="Standard"/>
              <w:ind w:firstLine="42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15039" w:rsidRDefault="00D15039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D15039" w:rsidRDefault="00D15039" w:rsidP="00D72670">
            <w:pPr>
              <w:pStyle w:val="Standard"/>
              <w:ind w:left="405" w:hanging="2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наименование производителя </w:t>
            </w:r>
            <w:r>
              <w:rPr>
                <w:rFonts w:cs="Times New Roman"/>
                <w:sz w:val="20"/>
                <w:szCs w:val="20"/>
                <w:lang w:val="ru-RU"/>
              </w:rPr>
              <w:t>(товарный знак предприятия-производителя);</w:t>
            </w:r>
          </w:p>
          <w:p w:rsidR="00D15039" w:rsidRDefault="00D15039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адрес производителя;</w:t>
            </w:r>
          </w:p>
          <w:p w:rsidR="00D15039" w:rsidRDefault="00D15039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D15039" w:rsidRDefault="00D15039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дату выпуска (месяц, год);</w:t>
            </w:r>
          </w:p>
          <w:p w:rsidR="00D15039" w:rsidRDefault="00D15039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артикул модификации кресла-коляски;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серийный номер </w:t>
            </w:r>
            <w:r>
              <w:rPr>
                <w:rFonts w:cs="Times New Roman"/>
                <w:sz w:val="20"/>
                <w:szCs w:val="20"/>
                <w:lang w:val="ru-RU"/>
              </w:rPr>
              <w:t>данного кресла-коляски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комплект поставки должно входить: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набор инструментов;</w:t>
            </w:r>
          </w:p>
          <w:p w:rsidR="00D15039" w:rsidRDefault="00D15039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D15039" w:rsidRDefault="00D15039" w:rsidP="00D72670">
            <w:pPr>
              <w:pStyle w:val="Standard"/>
              <w:numPr>
                <w:ilvl w:val="2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гарантийный талон (с отметкой о произведенной проверке контроля качества).</w:t>
            </w:r>
          </w:p>
          <w:p w:rsidR="00D15039" w:rsidRDefault="00D15039" w:rsidP="00D72670">
            <w:pPr>
              <w:pStyle w:val="Standard"/>
              <w:widowControl/>
              <w:jc w:val="both"/>
              <w:textAlignment w:val="auto"/>
            </w:pPr>
            <w:r>
              <w:rPr>
                <w:b/>
                <w:bCs/>
                <w:sz w:val="20"/>
                <w:szCs w:val="20"/>
                <w:lang w:eastAsia="hi-IN"/>
              </w:rPr>
              <w:t>Гарантийный срок</w:t>
            </w:r>
            <w:r>
              <w:rPr>
                <w:sz w:val="20"/>
                <w:szCs w:val="20"/>
                <w:lang w:eastAsia="hi-IN"/>
              </w:rPr>
              <w:t xml:space="preserve"> должен быть не менее 12 месяцев с момента подписания Получателем Акта сдачи-приемки товара.</w:t>
            </w:r>
          </w:p>
          <w:p w:rsidR="00D15039" w:rsidRDefault="00D15039" w:rsidP="00D72670">
            <w:pPr>
              <w:pStyle w:val="Standarduser"/>
              <w:keepNext/>
              <w:numPr>
                <w:ilvl w:val="2"/>
                <w:numId w:val="2"/>
              </w:numPr>
              <w:tabs>
                <w:tab w:val="left" w:pos="348"/>
              </w:tabs>
              <w:snapToGrid w:val="0"/>
              <w:jc w:val="both"/>
              <w:rPr>
                <w:rFonts w:cs="Times New Roman"/>
                <w:sz w:val="20"/>
                <w:szCs w:val="20"/>
                <w:lang w:eastAsia="hi-IN"/>
              </w:rPr>
            </w:pPr>
            <w:r>
              <w:rPr>
                <w:rFonts w:cs="Times New Roman"/>
                <w:sz w:val="20"/>
                <w:szCs w:val="20"/>
                <w:lang w:eastAsia="hi-IN"/>
              </w:rPr>
              <w:t>Срок гарантийного ремонта со дня обращения инвалида не должен превышать 30 (тридцати) рабочих дней.</w:t>
            </w:r>
          </w:p>
          <w:p w:rsidR="00D15039" w:rsidRDefault="00D15039" w:rsidP="00D72670">
            <w:pPr>
              <w:pStyle w:val="Standard"/>
              <w:ind w:firstLine="720"/>
              <w:jc w:val="both"/>
              <w:rPr>
                <w:rFonts w:cs="Times New Roman"/>
                <w:sz w:val="20"/>
                <w:szCs w:val="20"/>
              </w:rPr>
            </w:pPr>
          </w:p>
          <w:p w:rsidR="00D15039" w:rsidRDefault="00D15039" w:rsidP="00D72670">
            <w:pPr>
              <w:pStyle w:val="Standard"/>
              <w:ind w:firstLine="720"/>
              <w:jc w:val="both"/>
            </w:pPr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:rsidR="00D15039" w:rsidRDefault="00D15039" w:rsidP="00D72670">
            <w:pPr>
              <w:pStyle w:val="Standard"/>
              <w:jc w:val="both"/>
              <w:rPr>
                <w:b/>
                <w:color w:val="1F497D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23042,73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039" w:rsidRDefault="00D15039" w:rsidP="00D72670">
            <w:pPr>
              <w:pStyle w:val="Textbody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4608546</w:t>
            </w:r>
          </w:p>
        </w:tc>
      </w:tr>
    </w:tbl>
    <w:p w:rsidR="00D15039" w:rsidRDefault="00D15039" w:rsidP="00D15039">
      <w:pPr>
        <w:pStyle w:val="Standard"/>
        <w:spacing w:line="240" w:lineRule="atLeast"/>
        <w:jc w:val="both"/>
      </w:pPr>
      <w:r>
        <w:rPr>
          <w:b/>
          <w:bCs/>
          <w:sz w:val="20"/>
          <w:szCs w:val="20"/>
        </w:rPr>
        <w:lastRenderedPageBreak/>
        <w:t>3.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федеральный бюджет.</w:t>
      </w:r>
    </w:p>
    <w:p w:rsidR="00D15039" w:rsidRDefault="00D15039" w:rsidP="00D15039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Начальная (максимальная) цена контракта: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  <w:t>4 608 546,00 рублей.</w:t>
      </w:r>
    </w:p>
    <w:p w:rsidR="00D15039" w:rsidRDefault="00D15039" w:rsidP="00D15039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5. </w:t>
      </w:r>
      <w:r>
        <w:rPr>
          <w:b/>
          <w:bCs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color w:val="000000"/>
          <w:sz w:val="20"/>
          <w:szCs w:val="20"/>
        </w:rPr>
        <w:t xml:space="preserve">начальная (максимальная) цена контракта сформирована методом сопоставимых рыночных цен (анализа рынка). </w:t>
      </w:r>
    </w:p>
    <w:p w:rsidR="00D15039" w:rsidRDefault="00D15039" w:rsidP="00D15039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</w:pPr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eastAsia="DejaVu Sans" w:cs="Times New Roman CYR"/>
          <w:sz w:val="20"/>
          <w:szCs w:val="20"/>
          <w:lang w:eastAsia="ar-SA" w:bidi="ar-SA"/>
        </w:rPr>
        <w:t xml:space="preserve"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до</w:t>
      </w:r>
      <w:r>
        <w:rPr>
          <w:rFonts w:eastAsia="DejaVu Sans" w:cs="Times New Roman CYR"/>
          <w:sz w:val="20"/>
          <w:szCs w:val="20"/>
          <w:lang w:eastAsia="ar-SA" w:bidi="ar-SA"/>
        </w:rPr>
        <w:t xml:space="preserve"> специ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ального пункта выдачи   и и</w:t>
      </w:r>
      <w:r>
        <w:rPr>
          <w:rFonts w:eastAsia="DejaVu Sans" w:cs="Times New Roman CYR"/>
          <w:sz w:val="20"/>
          <w:szCs w:val="20"/>
          <w:lang w:eastAsia="ar-SA" w:bidi="ar-SA"/>
        </w:rPr>
        <w:t>ные расходы, связанные с выполнением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D15039" w:rsidRDefault="00D15039" w:rsidP="00D15039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DejaVu Sans" w:cs="Times New Roman"/>
          <w:b/>
          <w:sz w:val="20"/>
          <w:szCs w:val="20"/>
          <w:lang w:eastAsia="ar-SA" w:bidi="ar-SA"/>
        </w:rPr>
      </w:pPr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       7. Место, условия и сроки (периоды) поставки товара, выполнения работ, оказания услуг:</w:t>
      </w:r>
    </w:p>
    <w:p w:rsidR="00D15039" w:rsidRDefault="00D15039" w:rsidP="00D15039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Территория г. Якутска; после уведомления Заказчика о поставке Товара и получения списка получателей – Республика Саха (Якутия) до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D15039" w:rsidRDefault="00D15039" w:rsidP="00D15039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DejaVu Sans" w:cs="Times New Roman"/>
          <w:sz w:val="20"/>
          <w:szCs w:val="20"/>
          <w:lang w:eastAsia="ar-SA" w:bidi="ar-SA"/>
        </w:rPr>
      </w:pPr>
      <w:r>
        <w:rPr>
          <w:rFonts w:eastAsia="DejaVu Sans" w:cs="Times New Roman"/>
          <w:sz w:val="20"/>
          <w:szCs w:val="20"/>
          <w:lang w:eastAsia="ar-SA" w:bidi="ar-SA"/>
        </w:rPr>
        <w:t>Весь объем товара должен быть поставлен на территорию г. Якутска - в течение 30 (тридцати) календарных дней с момента заключения государственного контракта.</w:t>
      </w:r>
    </w:p>
    <w:p w:rsidR="00D15039" w:rsidRDefault="00D15039" w:rsidP="00D15039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lang w:eastAsia="ar-SA" w:bidi="ar-SA"/>
        </w:rPr>
        <w:t>Выдача Товара Получателю, указанному в направлении, в соответствии с выбранным им способом получени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 Товара в течение следующего срока:</w:t>
      </w:r>
    </w:p>
    <w:p w:rsidR="00D15039" w:rsidRDefault="00D15039" w:rsidP="00D15039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- в течение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lastRenderedPageBreak/>
        <w:t xml:space="preserve">предстоящей поставке Товара не позднее, чем за два дня до предполагаемой даты поставки, но не позднее «15» августа 2020 г. 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 осуществляется в упаковке,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обеспечивающей сохранности Товар во время перевозки;</w:t>
      </w:r>
    </w:p>
    <w:p w:rsidR="00D15039" w:rsidRDefault="00D15039" w:rsidP="00D15039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- в течение 30 (тридцати) календарных дней с даты получения направления от Заказчика либо списка Получателей, проживающих на территории Республики Саха (Якутия), за исключением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августа 2020 г</w:t>
      </w:r>
      <w:r>
        <w:rPr>
          <w:rFonts w:eastAsia="Times New Roman" w:cs="Times New Roman"/>
          <w:sz w:val="20"/>
          <w:szCs w:val="20"/>
          <w:lang w:eastAsia="ar-SA" w:bidi="ar-SA"/>
        </w:rPr>
        <w:t>. 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 осуществляется в упаковке,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обеспечивающей сохранности Товар во время перевозки.</w:t>
      </w:r>
    </w:p>
    <w:p w:rsidR="00D15039" w:rsidRDefault="00D15039" w:rsidP="00D15039">
      <w:pPr>
        <w:pStyle w:val="Standard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8. Форма, сроки и порядок оплаты товара, работ, услуг:</w:t>
      </w:r>
      <w:r>
        <w:rPr>
          <w:rFonts w:eastAsia="Times New Roman CYR" w:cs="Times New Roman CYR"/>
          <w:b/>
          <w:bCs/>
          <w:sz w:val="20"/>
          <w:szCs w:val="20"/>
          <w:lang w:eastAsia="ar-SA" w:bidi="ar-SA"/>
        </w:rPr>
        <w:t xml:space="preserve"> </w:t>
      </w:r>
      <w:r>
        <w:rPr>
          <w:rFonts w:eastAsia="Times New Roman CYR" w:cs="Times New Roman CYR"/>
          <w:sz w:val="20"/>
          <w:szCs w:val="20"/>
          <w:lang w:eastAsia="ar-SA" w:bidi="ar-SA"/>
        </w:rPr>
        <w:t>Оплата производится Заказчиком по безналичному расчету в течение 15 (пятнадцати) банковских дней с даты предоставления Поставщиком, подписанного Сторонами, Реестр получателей Товара , Акт приема-передачи Товара, Отчет о поставке товара Получателями, итогового Акта осуществленных поставок Товара, а также счета на оплату.</w:t>
      </w:r>
    </w:p>
    <w:p w:rsidR="00D15039" w:rsidRDefault="00D15039" w:rsidP="00D15039">
      <w:pPr>
        <w:pStyle w:val="Textbody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eastAsia="ar-SA" w:bidi="ar-SA"/>
        </w:rPr>
        <w:t xml:space="preserve">   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  <w:lang w:eastAsia="ar-SA" w:bidi="ar-SA"/>
        </w:rPr>
        <w:t xml:space="preserve">9.  Размер обеспечения заявки: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eastAsia="ar-SA" w:bidi="ar-SA"/>
        </w:rPr>
        <w:t>1% от начальной (максимальной) цены контракта.</w:t>
      </w:r>
    </w:p>
    <w:p w:rsidR="00D15039" w:rsidRDefault="00D15039" w:rsidP="00D15039">
      <w:pPr>
        <w:pStyle w:val="Textbody"/>
        <w:jc w:val="both"/>
      </w:pPr>
      <w:r>
        <w:rPr>
          <w:color w:val="000000"/>
        </w:rPr>
        <w:t xml:space="preserve">   </w:t>
      </w:r>
      <w:r>
        <w:rPr>
          <w:b/>
          <w:color w:val="000000"/>
          <w:sz w:val="20"/>
        </w:rPr>
        <w:t>10. Размер обеспечения гарантийных обязательств государственного контракта:</w:t>
      </w:r>
      <w:r>
        <w:rPr>
          <w:color w:val="000000"/>
        </w:rPr>
        <w:t xml:space="preserve"> </w:t>
      </w:r>
      <w:r w:rsidR="007F7D76">
        <w:rPr>
          <w:color w:val="000000"/>
          <w:sz w:val="20"/>
        </w:rPr>
        <w:t>1</w:t>
      </w:r>
      <w:bookmarkStart w:id="0" w:name="_GoBack"/>
      <w:bookmarkEnd w:id="0"/>
      <w:r>
        <w:rPr>
          <w:color w:val="000000"/>
          <w:sz w:val="20"/>
        </w:rPr>
        <w:t>% от начальной (максимальной) цены контракта.</w:t>
      </w:r>
    </w:p>
    <w:p w:rsidR="00D15039" w:rsidRDefault="00D15039" w:rsidP="00D15039">
      <w:pPr>
        <w:pStyle w:val="Textbody"/>
        <w:jc w:val="both"/>
      </w:pPr>
      <w:r>
        <w:t xml:space="preserve">  </w:t>
      </w:r>
      <w:r>
        <w:rPr>
          <w:color w:val="000000"/>
        </w:rPr>
        <w:t> </w:t>
      </w:r>
      <w:r>
        <w:rPr>
          <w:rFonts w:ascii="Times New Roman CYR" w:hAnsi="Times New Roman CYR"/>
          <w:b/>
          <w:color w:val="000000"/>
          <w:sz w:val="20"/>
        </w:rPr>
        <w:t xml:space="preserve">11. </w:t>
      </w:r>
      <w:r>
        <w:rPr>
          <w:b/>
          <w:color w:val="000000"/>
          <w:sz w:val="20"/>
        </w:rPr>
        <w:t>Размер обеспечения исполнения государственного контракта:</w:t>
      </w:r>
      <w:r>
        <w:rPr>
          <w:color w:val="000000"/>
        </w:rPr>
        <w:t xml:space="preserve"> </w:t>
      </w:r>
      <w:r>
        <w:rPr>
          <w:color w:val="000000"/>
          <w:sz w:val="20"/>
        </w:rPr>
        <w:t>30% от начальной (максимальной) цены контракта.</w:t>
      </w:r>
    </w:p>
    <w:p w:rsidR="00B9282E" w:rsidRDefault="007F7D76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1AF3"/>
    <w:multiLevelType w:val="multilevel"/>
    <w:tmpl w:val="443AB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6162AA8"/>
    <w:multiLevelType w:val="multilevel"/>
    <w:tmpl w:val="686445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4"/>
    <w:rsid w:val="000B42B5"/>
    <w:rsid w:val="00682DB4"/>
    <w:rsid w:val="0074413A"/>
    <w:rsid w:val="007F7D76"/>
    <w:rsid w:val="00D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DF40-80A0-4C17-957B-B0FAA7E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15039"/>
    <w:pPr>
      <w:spacing w:after="120"/>
    </w:pPr>
  </w:style>
  <w:style w:type="paragraph" w:customStyle="1" w:styleId="TableContents">
    <w:name w:val="Table Contents"/>
    <w:basedOn w:val="Standard"/>
    <w:rsid w:val="00D15039"/>
    <w:pPr>
      <w:suppressLineNumbers/>
    </w:pPr>
  </w:style>
  <w:style w:type="paragraph" w:styleId="2">
    <w:name w:val="Body Text 2"/>
    <w:basedOn w:val="Standard"/>
    <w:link w:val="20"/>
    <w:rsid w:val="00D150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50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 текст 2"/>
    <w:basedOn w:val="Textbody"/>
    <w:rsid w:val="00D15039"/>
    <w:pPr>
      <w:spacing w:after="0"/>
      <w:jc w:val="both"/>
    </w:pPr>
    <w:rPr>
      <w:sz w:val="28"/>
      <w:szCs w:val="28"/>
    </w:rPr>
  </w:style>
  <w:style w:type="paragraph" w:customStyle="1" w:styleId="Standarduser">
    <w:name w:val="Standard (user)"/>
    <w:rsid w:val="00D15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2019-12-11T02:53:00Z</dcterms:created>
  <dcterms:modified xsi:type="dcterms:W3CDTF">2019-12-13T01:05:00Z</dcterms:modified>
</cp:coreProperties>
</file>