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31" w:rsidRPr="008900B1" w:rsidRDefault="00135831" w:rsidP="00135831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135831" w:rsidRPr="00BF2BD8" w:rsidRDefault="00135831" w:rsidP="00135831">
      <w:pPr>
        <w:jc w:val="center"/>
        <w:rPr>
          <w:b/>
        </w:rPr>
      </w:pPr>
      <w:r w:rsidRPr="000B5527">
        <w:rPr>
          <w:b/>
        </w:rPr>
        <w:t xml:space="preserve">на оказание услуг по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заболеваний, с заболеваниями </w:t>
      </w:r>
      <w:r w:rsidRPr="009F3BC0">
        <w:rPr>
          <w:b/>
        </w:rPr>
        <w:t xml:space="preserve">по </w:t>
      </w:r>
      <w:r w:rsidRPr="009F3BC0">
        <w:rPr>
          <w:b/>
          <w:bCs/>
          <w:iCs/>
          <w:lang w:eastAsia="ar-SA"/>
        </w:rPr>
        <w:t xml:space="preserve">Классу </w:t>
      </w:r>
      <w:r w:rsidRPr="00BF2BD8">
        <w:rPr>
          <w:b/>
        </w:rPr>
        <w:t>VII</w:t>
      </w:r>
      <w:r w:rsidRPr="00BF2BD8">
        <w:rPr>
          <w:b/>
          <w:bCs/>
          <w:iCs/>
          <w:lang w:eastAsia="ar-SA"/>
        </w:rPr>
        <w:t xml:space="preserve"> МКБ-10 «</w:t>
      </w:r>
      <w:hyperlink r:id="rId4" w:tooltip="Болезни глаза и его придаточного аппарата" w:history="1">
        <w:r w:rsidRPr="00BF2BD8">
          <w:rPr>
            <w:rStyle w:val="a3"/>
            <w:b/>
          </w:rPr>
          <w:t>Болезни глаза и его придаточного аппарата</w:t>
        </w:r>
      </w:hyperlink>
      <w:r w:rsidRPr="00BF2BD8">
        <w:rPr>
          <w:b/>
          <w:bCs/>
          <w:iCs/>
          <w:lang w:eastAsia="ar-SA"/>
        </w:rPr>
        <w:t>»</w:t>
      </w:r>
    </w:p>
    <w:p w:rsidR="00135831" w:rsidRDefault="00135831" w:rsidP="00135831">
      <w:pPr>
        <w:tabs>
          <w:tab w:val="left" w:pos="10065"/>
        </w:tabs>
        <w:ind w:right="425" w:firstLine="709"/>
        <w:jc w:val="both"/>
      </w:pPr>
    </w:p>
    <w:p w:rsidR="00135831" w:rsidRDefault="00135831" w:rsidP="00135831">
      <w:pPr>
        <w:pStyle w:val="a6"/>
        <w:tabs>
          <w:tab w:val="left" w:pos="10065"/>
        </w:tabs>
        <w:ind w:right="425"/>
      </w:pPr>
      <w:r>
        <w:rPr>
          <w:b/>
          <w:bCs/>
        </w:rPr>
        <w:t xml:space="preserve">ОКПД2: </w:t>
      </w:r>
      <w:r w:rsidRPr="00DF7C93">
        <w:t>86.90.19.140</w:t>
      </w:r>
    </w:p>
    <w:p w:rsidR="00135831" w:rsidRPr="00107E77" w:rsidRDefault="00135831" w:rsidP="00135831">
      <w:pPr>
        <w:tabs>
          <w:tab w:val="left" w:pos="10065"/>
        </w:tabs>
        <w:ind w:right="425"/>
        <w:jc w:val="both"/>
      </w:pPr>
      <w:r w:rsidRPr="00385D90">
        <w:rPr>
          <w:b/>
          <w:bCs/>
        </w:rPr>
        <w:t>Объем оказываемых услуг:</w:t>
      </w:r>
      <w:r w:rsidRPr="00385D90">
        <w:rPr>
          <w:bCs/>
        </w:rPr>
        <w:t xml:space="preserve"> </w:t>
      </w:r>
      <w:r w:rsidRPr="00107E77">
        <w:t xml:space="preserve">количество дней пребывания – </w:t>
      </w:r>
      <w:r>
        <w:rPr>
          <w:bCs/>
        </w:rPr>
        <w:t>1 440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одна тысяча четыреста сорок</w:t>
      </w:r>
      <w:r w:rsidRPr="00A73C6E">
        <w:rPr>
          <w:bCs/>
        </w:rPr>
        <w:t>) койко-дней</w:t>
      </w:r>
      <w:r>
        <w:rPr>
          <w:bCs/>
        </w:rPr>
        <w:t>.</w:t>
      </w:r>
    </w:p>
    <w:p w:rsidR="00135831" w:rsidRPr="00A73C6E" w:rsidRDefault="00135831" w:rsidP="00135831">
      <w:pPr>
        <w:pStyle w:val="a6"/>
        <w:tabs>
          <w:tab w:val="left" w:pos="10065"/>
        </w:tabs>
        <w:ind w:right="425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80</w:t>
      </w:r>
      <w:r w:rsidRPr="00A73C6E">
        <w:t xml:space="preserve"> штук, цена 1 путевки - 22 458,60 руб.</w:t>
      </w:r>
    </w:p>
    <w:p w:rsidR="00135831" w:rsidRPr="00A73C6E" w:rsidRDefault="00135831" w:rsidP="00135831">
      <w:pPr>
        <w:tabs>
          <w:tab w:val="num" w:pos="-110"/>
          <w:tab w:val="left" w:pos="10065"/>
        </w:tabs>
        <w:ind w:right="425"/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135831" w:rsidRPr="00A73C6E" w:rsidRDefault="00135831" w:rsidP="00135831">
      <w:pPr>
        <w:tabs>
          <w:tab w:val="left" w:pos="0"/>
          <w:tab w:val="left" w:pos="142"/>
          <w:tab w:val="left" w:pos="10065"/>
        </w:tabs>
        <w:ind w:right="425"/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 xml:space="preserve">лючения контракта </w:t>
      </w:r>
      <w:r w:rsidRPr="003B19B4">
        <w:t xml:space="preserve">по </w:t>
      </w:r>
      <w:r>
        <w:t xml:space="preserve">30.11.2020 </w:t>
      </w:r>
      <w:r w:rsidRPr="003B19B4">
        <w:t>г.</w:t>
      </w:r>
    </w:p>
    <w:p w:rsidR="00135831" w:rsidRDefault="00135831" w:rsidP="00135831">
      <w:pPr>
        <w:widowControl w:val="0"/>
        <w:tabs>
          <w:tab w:val="left" w:pos="10065"/>
        </w:tabs>
        <w:ind w:right="425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Пятигорск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</w:t>
      </w:r>
    </w:p>
    <w:p w:rsidR="00135831" w:rsidRPr="00E13160" w:rsidRDefault="00135831" w:rsidP="00135831">
      <w:pPr>
        <w:shd w:val="clear" w:color="auto" w:fill="FFFFFF"/>
        <w:tabs>
          <w:tab w:val="left" w:pos="1051"/>
          <w:tab w:val="left" w:pos="10065"/>
        </w:tabs>
        <w:autoSpaceDE w:val="0"/>
        <w:ind w:right="425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135831" w:rsidRPr="003839EA" w:rsidRDefault="00135831" w:rsidP="00135831">
      <w:pPr>
        <w:widowControl w:val="0"/>
        <w:tabs>
          <w:tab w:val="left" w:pos="10065"/>
        </w:tabs>
        <w:ind w:right="425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135831" w:rsidRPr="003839EA" w:rsidRDefault="00135831" w:rsidP="00135831">
      <w:pPr>
        <w:widowControl w:val="0"/>
        <w:tabs>
          <w:tab w:val="left" w:pos="10065"/>
        </w:tabs>
        <w:ind w:right="425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135831" w:rsidRPr="000A7880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>
        <w:rPr>
          <w:bCs/>
        </w:rPr>
        <w:t>1.3.</w:t>
      </w:r>
      <w:r w:rsidRPr="00C07E7F">
        <w:rPr>
          <w:bCs/>
          <w:color w:val="FF0000"/>
        </w:rPr>
        <w:t xml:space="preserve"> </w:t>
      </w:r>
      <w:r w:rsidRPr="000A7880">
        <w:rPr>
          <w:bCs/>
        </w:rPr>
        <w:t xml:space="preserve">Наличие </w:t>
      </w:r>
      <w:r w:rsidRPr="000A7880">
        <w:rPr>
          <w:rFonts w:ascii="Times New Roman CYR" w:eastAsia="Calibri" w:hAnsi="Times New Roman CYR" w:cs="Times New Roman CYR"/>
        </w:rPr>
        <w:t xml:space="preserve">у санатория </w:t>
      </w:r>
      <w:r w:rsidRPr="000A7880">
        <w:rPr>
          <w:rFonts w:ascii="Times New Roman CYR" w:eastAsia="Calibri" w:hAnsi="Times New Roman CYR" w:cs="Times New Roman CYR"/>
          <w:iCs/>
        </w:rPr>
        <w:t>лицензии</w:t>
      </w:r>
      <w:r w:rsidRPr="000A7880">
        <w:rPr>
          <w:rFonts w:ascii="Times New Roman CYR" w:eastAsia="Calibri" w:hAnsi="Times New Roman CYR" w:cs="Times New Roman CYR"/>
        </w:rPr>
        <w:t xml:space="preserve"> на осуществление медицинской деятельности по санаторно-курортной помощи в соответствии с профилем лечения </w:t>
      </w:r>
      <w:r w:rsidRPr="000A7880">
        <w:rPr>
          <w:bCs/>
          <w:iCs/>
          <w:lang w:eastAsia="ar-SA"/>
        </w:rPr>
        <w:t>«</w:t>
      </w:r>
      <w:hyperlink r:id="rId5" w:tooltip="Болезни глаза и его придаточного аппарата" w:history="1">
        <w:r w:rsidRPr="000A7880">
          <w:rPr>
            <w:rStyle w:val="a3"/>
          </w:rPr>
          <w:t>Болезни глаза и его придаточного аппарата</w:t>
        </w:r>
      </w:hyperlink>
      <w:r w:rsidRPr="000A7880">
        <w:rPr>
          <w:bCs/>
          <w:iCs/>
          <w:lang w:eastAsia="ar-SA"/>
        </w:rPr>
        <w:t>»</w:t>
      </w:r>
      <w:r w:rsidRPr="000A7880">
        <w:rPr>
          <w:rFonts w:ascii="Times New Roman CYR" w:eastAsia="Calibri" w:hAnsi="Times New Roman CYR" w:cs="Times New Roman CYR"/>
        </w:rPr>
        <w:t xml:space="preserve">, выданной лицензирующим органом в соответствии с Федеральным законом от 04.05.2011 г. № 99-ФЗ </w:t>
      </w:r>
      <w:r w:rsidRPr="000A7880">
        <w:rPr>
          <w:rFonts w:eastAsia="Calibri"/>
        </w:rPr>
        <w:t>«</w:t>
      </w:r>
      <w:r w:rsidRPr="000A7880">
        <w:rPr>
          <w:rFonts w:ascii="Times New Roman CYR" w:eastAsia="Calibri" w:hAnsi="Times New Roman CYR" w:cs="Times New Roman CYR"/>
        </w:rPr>
        <w:t>О лицензировании отдельных видов деятельности</w:t>
      </w:r>
      <w:r w:rsidRPr="000A7880">
        <w:rPr>
          <w:rFonts w:eastAsia="Calibri"/>
        </w:rPr>
        <w:t>» (</w:t>
      </w:r>
      <w:r w:rsidRPr="000A7880">
        <w:rPr>
          <w:rFonts w:ascii="Times New Roman CYR" w:eastAsia="Calibri" w:hAnsi="Times New Roman CYR" w:cs="Times New Roman CYR"/>
        </w:rPr>
        <w:t xml:space="preserve">с изм.), а также наличие у санаторно-курортного учреждения </w:t>
      </w:r>
      <w:r w:rsidRPr="000A7880">
        <w:rPr>
          <w:rFonts w:ascii="Times New Roman CYR" w:eastAsia="Calibri" w:hAnsi="Times New Roman CYR" w:cs="Times New Roman CYR"/>
          <w:iCs/>
        </w:rPr>
        <w:t>лечебно-диагностической базы</w:t>
      </w:r>
      <w:r w:rsidRPr="000A7880">
        <w:rPr>
          <w:rFonts w:ascii="Times New Roman CYR" w:eastAsia="Calibri" w:hAnsi="Times New Roman CYR" w:cs="Times New Roman CYR"/>
        </w:rPr>
        <w:t>, позволяющей оказывать медицинские услуги, в частности, клинико-диагностические исследования в соответствии с заявленным профилем лечения при оказании санаторно-курортной помощи граждан.</w:t>
      </w:r>
    </w:p>
    <w:p w:rsidR="00135831" w:rsidRPr="000A7880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0A7880">
        <w:rPr>
          <w:rFonts w:ascii="Times New Roman CYR" w:eastAsia="Calibri" w:hAnsi="Times New Roman CYR" w:cs="Times New Roman CYR"/>
          <w:iCs/>
        </w:rPr>
        <w:t xml:space="preserve">1.4. </w:t>
      </w:r>
      <w:r>
        <w:rPr>
          <w:rFonts w:ascii="Times New Roman CYR" w:eastAsia="Calibri" w:hAnsi="Times New Roman CYR" w:cs="Times New Roman CYR"/>
          <w:iCs/>
        </w:rPr>
        <w:t>Наличие необходимого оснащения и оборудования</w:t>
      </w:r>
      <w:r w:rsidRPr="000A7880">
        <w:rPr>
          <w:rFonts w:ascii="Times New Roman CYR" w:eastAsia="Calibri" w:hAnsi="Times New Roman CYR" w:cs="Times New Roman CYR"/>
        </w:rPr>
        <w:t xml:space="preserve"> лечебно-диагнос</w:t>
      </w:r>
      <w:r>
        <w:rPr>
          <w:rFonts w:ascii="Times New Roman CYR" w:eastAsia="Calibri" w:hAnsi="Times New Roman CYR" w:cs="Times New Roman CYR"/>
        </w:rPr>
        <w:t xml:space="preserve">тических отделений и кабинетов </w:t>
      </w:r>
      <w:r w:rsidRPr="000A7880">
        <w:rPr>
          <w:rFonts w:ascii="Times New Roman CYR" w:eastAsia="Calibri" w:hAnsi="Times New Roman CYR" w:cs="Times New Roman CYR"/>
        </w:rPr>
        <w:t xml:space="preserve">для проведения полного курса санаторно-курортного лечения и соответствовать Методическим указаниям </w:t>
      </w:r>
      <w:r w:rsidRPr="000A7880">
        <w:rPr>
          <w:rFonts w:eastAsia="Calibri"/>
        </w:rPr>
        <w:t>«</w:t>
      </w:r>
      <w:r w:rsidRPr="000A7880">
        <w:rPr>
          <w:rFonts w:ascii="Times New Roman CYR" w:eastAsia="Calibri" w:hAnsi="Times New Roman CYR" w:cs="Times New Roman CYR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0A7880">
        <w:rPr>
          <w:rFonts w:eastAsia="Calibri"/>
        </w:rPr>
        <w:t>» (</w:t>
      </w:r>
      <w:r w:rsidRPr="000A7880">
        <w:rPr>
          <w:rFonts w:ascii="Times New Roman CYR" w:eastAsia="Calibri" w:hAnsi="Times New Roman CYR" w:cs="Times New Roman CYR"/>
        </w:rPr>
        <w:t>утв. Минздравом РФ от 22.12.1999 г.</w:t>
      </w:r>
      <w:r w:rsidRPr="000A7880">
        <w:rPr>
          <w:rFonts w:eastAsia="Calibri"/>
          <w:lang w:val="en-US"/>
        </w:rPr>
        <w:t> </w:t>
      </w:r>
      <w:r w:rsidRPr="000A7880">
        <w:rPr>
          <w:rFonts w:eastAsia="Calibri"/>
        </w:rPr>
        <w:t xml:space="preserve"> № 99/229) </w:t>
      </w:r>
      <w:r w:rsidRPr="000A7880">
        <w:rPr>
          <w:rFonts w:ascii="Times New Roman CYR" w:eastAsia="Calibri" w:hAnsi="Times New Roman CYR" w:cs="Times New Roman CYR"/>
        </w:rPr>
        <w:t xml:space="preserve">в соответствии с заявленным профилем лечения. </w:t>
      </w:r>
    </w:p>
    <w:p w:rsidR="00135831" w:rsidRPr="00E13160" w:rsidRDefault="00135831" w:rsidP="00135831">
      <w:pPr>
        <w:tabs>
          <w:tab w:val="left" w:pos="10065"/>
        </w:tabs>
        <w:ind w:right="425"/>
        <w:jc w:val="both"/>
      </w:pPr>
      <w:r>
        <w:t>1.5</w:t>
      </w:r>
      <w:r w:rsidRPr="003839EA">
        <w:t xml:space="preserve">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35831" w:rsidRPr="00E13160" w:rsidRDefault="00135831" w:rsidP="00135831">
      <w:pPr>
        <w:tabs>
          <w:tab w:val="left" w:pos="10065"/>
        </w:tabs>
        <w:ind w:right="425"/>
        <w:jc w:val="both"/>
        <w:rPr>
          <w:kern w:val="2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>Приказ Минздравсоцразвития РФ</w:t>
      </w:r>
      <w:r>
        <w:rPr>
          <w:kern w:val="2"/>
          <w:shd w:val="clear" w:color="auto" w:fill="FFFFFF"/>
          <w:lang w:eastAsia="ar-SA"/>
        </w:rPr>
        <w:t xml:space="preserve"> </w:t>
      </w:r>
      <w:r>
        <w:rPr>
          <w:kern w:val="2"/>
        </w:rPr>
        <w:t>№ 215 от 22.11.2004</w:t>
      </w:r>
      <w:r w:rsidRPr="00E13160">
        <w:rPr>
          <w:kern w:val="2"/>
        </w:rPr>
        <w:t xml:space="preserve">г. </w:t>
      </w:r>
      <w:r w:rsidRPr="000D0854">
        <w:rPr>
          <w:kern w:val="2"/>
        </w:rPr>
        <w:t>«</w:t>
      </w:r>
      <w:r w:rsidRPr="00F6376E">
        <w:t>Об утверждении стандарта</w:t>
      </w:r>
      <w:r>
        <w:t xml:space="preserve"> </w:t>
      </w:r>
      <w:hyperlink r:id="rId6" w:tgtFrame="_blank" w:history="1">
        <w:r w:rsidRPr="000D0854">
          <w:rPr>
            <w:rStyle w:val="a3"/>
            <w:shd w:val="clear" w:color="auto" w:fill="FFFFFF"/>
          </w:rPr>
          <w:t>санаторно-курортной помощи больным с болезнями глаза и его придаточного аппарата</w:t>
        </w:r>
      </w:hyperlink>
      <w:r w:rsidRPr="000D0854">
        <w:t>»</w:t>
      </w:r>
      <w:r>
        <w:t>.</w:t>
      </w:r>
      <w:r>
        <w:rPr>
          <w:rFonts w:ascii="Georgia" w:hAnsi="Georgia"/>
          <w:color w:val="000000"/>
          <w:shd w:val="clear" w:color="auto" w:fill="FFFFFF"/>
        </w:rPr>
        <w:t> </w:t>
      </w:r>
    </w:p>
    <w:p w:rsidR="00135831" w:rsidRPr="00CA5575" w:rsidRDefault="00135831" w:rsidP="00135831">
      <w:pPr>
        <w:tabs>
          <w:tab w:val="left" w:pos="10065"/>
        </w:tabs>
        <w:ind w:right="425"/>
        <w:jc w:val="both"/>
        <w:rPr>
          <w:color w:val="000000"/>
        </w:rPr>
      </w:pPr>
      <w:r>
        <w:rPr>
          <w:color w:val="000000"/>
        </w:rPr>
        <w:t xml:space="preserve">1.6.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 xml:space="preserve"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</w:t>
      </w:r>
      <w:r w:rsidRPr="00E13160">
        <w:rPr>
          <w:color w:val="000000"/>
        </w:rPr>
        <w:lastRenderedPageBreak/>
        <w:t>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35831" w:rsidRPr="003839EA" w:rsidRDefault="00135831" w:rsidP="00135831">
      <w:pPr>
        <w:widowControl w:val="0"/>
        <w:tabs>
          <w:tab w:val="left" w:pos="10065"/>
        </w:tabs>
        <w:ind w:right="425"/>
        <w:jc w:val="both"/>
        <w:rPr>
          <w:bCs/>
        </w:rPr>
      </w:pPr>
      <w:r>
        <w:rPr>
          <w:bCs/>
        </w:rPr>
        <w:t>1.7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135831" w:rsidRDefault="00135831" w:rsidP="00135831">
      <w:pPr>
        <w:tabs>
          <w:tab w:val="left" w:pos="10065"/>
        </w:tabs>
        <w:autoSpaceDE w:val="0"/>
        <w:adjustRightInd w:val="0"/>
        <w:ind w:right="425"/>
        <w:jc w:val="center"/>
        <w:rPr>
          <w:b/>
          <w:bCs/>
        </w:rPr>
      </w:pPr>
    </w:p>
    <w:p w:rsidR="00135831" w:rsidRPr="00E13160" w:rsidRDefault="00135831" w:rsidP="00135831">
      <w:pPr>
        <w:tabs>
          <w:tab w:val="left" w:pos="10065"/>
        </w:tabs>
        <w:autoSpaceDE w:val="0"/>
        <w:adjustRightInd w:val="0"/>
        <w:ind w:right="425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135831" w:rsidRPr="002D7E91" w:rsidRDefault="00135831" w:rsidP="00135831">
      <w:pPr>
        <w:keepNext/>
        <w:keepLines/>
        <w:tabs>
          <w:tab w:val="left" w:pos="9498"/>
        </w:tabs>
        <w:autoSpaceDE w:val="0"/>
        <w:adjustRightInd w:val="0"/>
        <w:snapToGrid w:val="0"/>
        <w:ind w:right="425"/>
        <w:jc w:val="both"/>
        <w:rPr>
          <w:rFonts w:cs="Arial"/>
          <w:b/>
          <w:szCs w:val="20"/>
        </w:rPr>
      </w:pPr>
      <w:r w:rsidRPr="002D7E91">
        <w:rPr>
          <w:bCs/>
        </w:rPr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13583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</w:t>
      </w:r>
      <w:r>
        <w:rPr>
          <w:rFonts w:ascii="Times New Roman CYR" w:eastAsia="Calibri" w:hAnsi="Times New Roman CYR" w:cs="Times New Roman CYR"/>
        </w:rPr>
        <w:t>Организация досуга должна проводиться с учетом специфики работы с гражданами льготных категорий, включая информирование о проведении культурно-массовых мероприятий с применением громкой связи.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 xml:space="preserve">2.7.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</w:t>
      </w:r>
      <w:r w:rsidRPr="00626FA3">
        <w:rPr>
          <w:rFonts w:ascii="Times New Roman CYR" w:eastAsia="Calibri" w:hAnsi="Times New Roman CYR" w:cs="Times New Roman CYR"/>
        </w:rPr>
        <w:lastRenderedPageBreak/>
        <w:t>лифты, и др. объекты должны быть оснащены специальными приспособлениями для ориентировки и доступности незрячих: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 xml:space="preserve">- </w:t>
      </w:r>
      <w:r w:rsidRPr="00626FA3">
        <w:rPr>
          <w:rFonts w:ascii="Times New Roman CYR" w:eastAsia="Calibri" w:hAnsi="Times New Roman CYR" w:cs="Times New Roman CYR"/>
        </w:rPr>
        <w:t>сигнализаторами (световыми, звуковыми);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 xml:space="preserve">- </w:t>
      </w:r>
      <w:r w:rsidRPr="00626FA3">
        <w:rPr>
          <w:rFonts w:ascii="Times New Roman CYR" w:eastAsia="Calibri" w:hAnsi="Times New Roman CYR" w:cs="Times New Roman CYR"/>
        </w:rPr>
        <w:t>травмобезопасными ограничителями;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 xml:space="preserve">- </w:t>
      </w:r>
      <w:r w:rsidRPr="00626FA3">
        <w:rPr>
          <w:rFonts w:ascii="Times New Roman CYR" w:eastAsia="Calibri" w:hAnsi="Times New Roman CYR" w:cs="Times New Roman CYR"/>
        </w:rPr>
        <w:t>поручнями, ограждениями с применением строительных и отделочных материалов определенного качества (гладкая, шероховатая, рифленая) и цвета;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 xml:space="preserve">- </w:t>
      </w:r>
      <w:r w:rsidRPr="00626FA3">
        <w:rPr>
          <w:rFonts w:ascii="Times New Roman CYR" w:eastAsia="Calibri" w:hAnsi="Times New Roman CYR" w:cs="Times New Roman CYR"/>
        </w:rPr>
        <w:t>специальными пристенными устройствами – поручнями, звуковыми маяками и ориентирами, световыми маяками, контрастной окраской сопрягаемых поверхностей и конструктивных элементов, травмобезопасными дверьми и их элементами;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информационными таблицами, указателями направлений и другими информационными материалами с использованием письма по системе Брайля;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 xml:space="preserve">вход в санаторий </w:t>
      </w:r>
      <w:r>
        <w:rPr>
          <w:rFonts w:ascii="Times New Roman CYR" w:eastAsia="Calibri" w:hAnsi="Times New Roman CYR" w:cs="Times New Roman CYR"/>
        </w:rPr>
        <w:t xml:space="preserve">должен быть </w:t>
      </w:r>
      <w:r w:rsidRPr="00626FA3">
        <w:rPr>
          <w:rFonts w:ascii="Times New Roman CYR" w:eastAsia="Calibri" w:hAnsi="Times New Roman CYR" w:cs="Times New Roman CYR"/>
        </w:rPr>
        <w:t>оборудован звуковым сигналом;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начальная и конечная ступени на лестничных площадках окрашены в контрастный цвет;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перед лестницами есть мягкие резиновые коврики;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на лестничных площадках крупными цифрами есть обозначения номеров этажей;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пассажирские лифты оборудованы звуковым извещением номеров этажей и информацией по Брайлю;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ограждающими поручнями с нанесенной на них точечным шрифтом номера кабинета или комнаты.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наличие подробного макета учреждения для пространственной ориентации инвалидов по зрению;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наличие библиотеки на территории санатория, располагающей специализированным книжным фондом для инвалидов по зрению: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 «</w:t>
      </w:r>
      <w:r w:rsidRPr="00626FA3">
        <w:rPr>
          <w:rFonts w:ascii="Times New Roman CYR" w:eastAsia="Calibri" w:hAnsi="Times New Roman CYR" w:cs="Times New Roman CYR"/>
        </w:rPr>
        <w:t>Говорящая книга</w:t>
      </w:r>
      <w:r w:rsidRPr="00626FA3">
        <w:rPr>
          <w:rFonts w:eastAsia="Calibri"/>
        </w:rPr>
        <w:t>» (</w:t>
      </w:r>
      <w:r w:rsidRPr="00626FA3">
        <w:rPr>
          <w:rFonts w:ascii="Times New Roman CYR" w:eastAsia="Calibri" w:hAnsi="Times New Roman CYR" w:cs="Times New Roman CYR"/>
        </w:rPr>
        <w:t>диски, аудиокассеты, флеш-карты) - не менее одной единицы наименования на каждое койко-место;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книги с рельефно-точечным шрифтом по системе Брайля- не менее одной единицы наименования на каждое койко-место;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eastAsia="Calibri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 xml:space="preserve">специальные устройства для чтения </w:t>
      </w:r>
      <w:r w:rsidRPr="00626FA3">
        <w:rPr>
          <w:rFonts w:eastAsia="Calibri"/>
        </w:rPr>
        <w:t>«</w:t>
      </w:r>
      <w:r w:rsidRPr="00626FA3">
        <w:rPr>
          <w:rFonts w:ascii="Times New Roman CYR" w:eastAsia="Calibri" w:hAnsi="Times New Roman CYR" w:cs="Times New Roman CYR"/>
        </w:rPr>
        <w:t>говорящих книг</w:t>
      </w:r>
      <w:r w:rsidRPr="00626FA3">
        <w:rPr>
          <w:rFonts w:eastAsia="Calibri"/>
        </w:rPr>
        <w:t>».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>Ориентиры и справочно-информационные материалы должны быть выполнены укрупненным шрифтом, рельефно-точечным шрифтом по системе Брайля.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>Для ориентации незрячих граждан в санаторно-курортном учреждении должно иметься безбордюрное сопряжение тротуаров и площадок с дорожным полотном.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>Все помещения санатория, в том числе жилые,  должны быть радиофицированы.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>Уровень освещенности помещений, территории санаторно-курортного учреждения  достаточен для ориентации слабовидящих граждан для безопасного передвижения и свободной ориентации.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>Лечебная база: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наличие оснащенного офтальмологического отделения (кабинета), врача- офтальмолога, владеющего методами диагностики и лечения сложной патологии органа зрения;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наличие службы (кабинета) психологической помощи;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используются специальные методики лечения (в том числе климатолечения) с учетом заболевания, послужившего причиной инвалидности по зрению;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>-</w:t>
      </w:r>
      <w:r w:rsidRPr="00626FA3">
        <w:rPr>
          <w:rFonts w:ascii="Times New Roman CYR" w:eastAsia="Calibri" w:hAnsi="Times New Roman CYR" w:cs="Times New Roman CYR"/>
        </w:rPr>
        <w:t>специальные методы и приемы лечебной физкультуры с учетом последствий вынужденной гиподинамии и гипокинезии у незрячих граждан;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 xml:space="preserve">Медицинский и обслуживающий персонал (врачи, медсестры, официанты, сестры- хозяйки, санитарки, вахтеры, охранники и др.) </w:t>
      </w:r>
      <w:r>
        <w:rPr>
          <w:rFonts w:ascii="Times New Roman CYR" w:eastAsia="Calibri" w:hAnsi="Times New Roman CYR" w:cs="Times New Roman CYR"/>
        </w:rPr>
        <w:t xml:space="preserve">должны </w:t>
      </w:r>
      <w:r w:rsidRPr="00626FA3">
        <w:rPr>
          <w:rFonts w:ascii="Times New Roman CYR" w:eastAsia="Calibri" w:hAnsi="Times New Roman CYR" w:cs="Times New Roman CYR"/>
        </w:rPr>
        <w:t>владе</w:t>
      </w:r>
      <w:r>
        <w:rPr>
          <w:rFonts w:ascii="Times New Roman CYR" w:eastAsia="Calibri" w:hAnsi="Times New Roman CYR" w:cs="Times New Roman CYR"/>
        </w:rPr>
        <w:t>ть</w:t>
      </w:r>
      <w:r w:rsidRPr="00626FA3">
        <w:rPr>
          <w:rFonts w:ascii="Times New Roman CYR" w:eastAsia="Calibri" w:hAnsi="Times New Roman CYR" w:cs="Times New Roman CYR"/>
        </w:rPr>
        <w:t xml:space="preserve"> навыками сопровождения незрячих и слабовидящих граждан.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ascii="Times New Roman CYR" w:eastAsia="Calibri" w:hAnsi="Times New Roman CYR" w:cs="Times New Roman CYR"/>
        </w:rPr>
        <w:t>Все указанные условия должны быть распространяться и на граждан, прибывших к месту прохождения санаторно-курортного лечения в сопровождении собак-проводников: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lastRenderedPageBreak/>
        <w:t>-</w:t>
      </w:r>
      <w:r w:rsidRPr="00626FA3">
        <w:rPr>
          <w:rFonts w:ascii="Times New Roman CYR" w:eastAsia="Calibri" w:hAnsi="Times New Roman CYR" w:cs="Times New Roman CYR"/>
        </w:rPr>
        <w:t xml:space="preserve"> размещение собак-проводников  осуществляется совместно с хозяином собаки;</w:t>
      </w:r>
    </w:p>
    <w:p w:rsidR="00135831" w:rsidRPr="00626FA3" w:rsidRDefault="00135831" w:rsidP="00135831">
      <w:pPr>
        <w:tabs>
          <w:tab w:val="left" w:pos="10065"/>
        </w:tabs>
        <w:autoSpaceDE w:val="0"/>
        <w:autoSpaceDN w:val="0"/>
        <w:adjustRightInd w:val="0"/>
        <w:ind w:right="425"/>
        <w:jc w:val="both"/>
        <w:rPr>
          <w:rFonts w:ascii="Times New Roman CYR" w:eastAsia="Calibri" w:hAnsi="Times New Roman CYR" w:cs="Times New Roman CYR"/>
        </w:rPr>
      </w:pPr>
      <w:r w:rsidRPr="00626FA3">
        <w:rPr>
          <w:rFonts w:eastAsia="Calibri"/>
        </w:rPr>
        <w:t xml:space="preserve">- </w:t>
      </w:r>
      <w:r w:rsidRPr="00626FA3">
        <w:rPr>
          <w:rFonts w:ascii="Times New Roman CYR" w:eastAsia="Calibri" w:hAnsi="Times New Roman CYR" w:cs="Times New Roman CYR"/>
        </w:rPr>
        <w:t>имеется огражденная территория для выгула собак-проводников.</w:t>
      </w:r>
    </w:p>
    <w:p w:rsidR="00135831" w:rsidRPr="002D7E91" w:rsidRDefault="00135831" w:rsidP="00135831">
      <w:pPr>
        <w:tabs>
          <w:tab w:val="left" w:pos="426"/>
          <w:tab w:val="left" w:pos="10065"/>
        </w:tabs>
        <w:ind w:right="425"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135831" w:rsidRPr="00F44C04" w:rsidRDefault="00135831" w:rsidP="00135831">
      <w:pPr>
        <w:tabs>
          <w:tab w:val="left" w:pos="10065"/>
        </w:tabs>
        <w:ind w:right="425"/>
        <w:jc w:val="both"/>
      </w:pPr>
      <w:r w:rsidRPr="002D7E91">
        <w:rPr>
          <w:bCs/>
        </w:rPr>
        <w:t xml:space="preserve">2.8. </w:t>
      </w:r>
      <w:r w:rsidRPr="00251A92">
        <w:t>Расположение спального, лечебного корпусов и столовой в одном здании или в зданиях, соединенных теплыми переходами</w:t>
      </w:r>
      <w:r>
        <w:t>.</w:t>
      </w:r>
    </w:p>
    <w:p w:rsidR="00135831" w:rsidRPr="002C4624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>
        <w:rPr>
          <w:bCs/>
        </w:rPr>
        <w:t xml:space="preserve">2.9. </w:t>
      </w:r>
      <w:r w:rsidRPr="002D7E91">
        <w:rPr>
          <w:bCs/>
        </w:rPr>
        <w:t>Организация должна иметь собственный закрытый лечебно-оздоровительный бассейн.</w:t>
      </w:r>
      <w:r>
        <w:t xml:space="preserve"> </w:t>
      </w:r>
      <w:r w:rsidRPr="00251A92">
        <w:t>Наличие возможности бесплатного посещения закрытого плавательного бассейна</w:t>
      </w:r>
      <w:r>
        <w:t>, входящего в стоимость путевки.</w:t>
      </w:r>
      <w:r>
        <w:rPr>
          <w:bCs/>
        </w:rPr>
        <w:t xml:space="preserve"> 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>
        <w:t xml:space="preserve">3.0. </w:t>
      </w:r>
      <w:r w:rsidRPr="002D7E91">
        <w:rPr>
          <w:bCs/>
        </w:rPr>
        <w:t>Дополнительно предоставляемые услуги: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135831" w:rsidRPr="002D7E91" w:rsidRDefault="00135831" w:rsidP="00135831">
      <w:pPr>
        <w:tabs>
          <w:tab w:val="left" w:pos="10065"/>
        </w:tabs>
        <w:autoSpaceDE w:val="0"/>
        <w:adjustRightInd w:val="0"/>
        <w:ind w:right="425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135831" w:rsidRDefault="00135831" w:rsidP="00135831">
      <w:pPr>
        <w:tabs>
          <w:tab w:val="left" w:pos="10065"/>
        </w:tabs>
        <w:ind w:right="425"/>
        <w:jc w:val="both"/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5B34A1" w:rsidRDefault="005B34A1">
      <w:bookmarkStart w:id="0" w:name="_GoBack"/>
      <w:bookmarkEnd w:id="0"/>
    </w:p>
    <w:sectPr w:rsidR="005B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1"/>
    <w:rsid w:val="00135831"/>
    <w:rsid w:val="005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C837-A423-4FED-8888-40FAFE8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135831"/>
    <w:rPr>
      <w:color w:val="0000FF"/>
      <w:u w:val="single"/>
    </w:rPr>
  </w:style>
  <w:style w:type="paragraph" w:styleId="a4">
    <w:name w:val="Title"/>
    <w:basedOn w:val="a"/>
    <w:link w:val="a5"/>
    <w:qFormat/>
    <w:rsid w:val="00135831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1358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13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-manshina.blogspot.com/2004/11/215.html" TargetMode="External"/><Relationship Id="rId5" Type="http://schemas.openxmlformats.org/officeDocument/2006/relationships/hyperlink" Target="https://mkb-10.com/index.php?pid=6001" TargetMode="External"/><Relationship Id="rId4" Type="http://schemas.openxmlformats.org/officeDocument/2006/relationships/hyperlink" Target="https://mkb-10.com/index.php?pid=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2020-02-11T07:31:00Z</dcterms:created>
  <dcterms:modified xsi:type="dcterms:W3CDTF">2020-02-11T07:31:00Z</dcterms:modified>
</cp:coreProperties>
</file>