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08" w:rsidRDefault="00216138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15. Техническое</w:t>
      </w:r>
      <w:r w:rsidR="007D411E">
        <w:rPr>
          <w:rFonts w:ascii="Times New Roman" w:hAnsi="Times New Roman" w:cs="Times New Roman"/>
          <w:b/>
          <w:sz w:val="28"/>
          <w:szCs w:val="28"/>
        </w:rPr>
        <w:t xml:space="preserve">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>выполнение работ по изготовлению протез</w:t>
      </w:r>
      <w:r w:rsidR="006A2ABC">
        <w:rPr>
          <w:rFonts w:ascii="Times New Roman" w:hAnsi="Times New Roman" w:cs="Times New Roman"/>
          <w:b/>
          <w:sz w:val="28"/>
          <w:szCs w:val="28"/>
        </w:rPr>
        <w:t>а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ABC">
        <w:rPr>
          <w:rFonts w:ascii="Times New Roman" w:hAnsi="Times New Roman" w:cs="Times New Roman"/>
          <w:b/>
          <w:sz w:val="28"/>
          <w:szCs w:val="28"/>
        </w:rPr>
        <w:t>бедра модульного типа</w:t>
      </w:r>
      <w:r w:rsidR="002D0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F9">
        <w:rPr>
          <w:rFonts w:ascii="Times New Roman" w:hAnsi="Times New Roman" w:cs="Times New Roman"/>
          <w:b/>
          <w:sz w:val="28"/>
          <w:szCs w:val="28"/>
        </w:rPr>
        <w:t xml:space="preserve">высокого уровня активности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</w:t>
      </w:r>
      <w:r w:rsidR="006A2ABC">
        <w:rPr>
          <w:rFonts w:ascii="Times New Roman" w:hAnsi="Times New Roman" w:cs="Times New Roman"/>
          <w:b/>
          <w:sz w:val="28"/>
          <w:szCs w:val="28"/>
        </w:rPr>
        <w:t>а</w:t>
      </w:r>
      <w:r w:rsidR="0028036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361F7">
        <w:rPr>
          <w:rFonts w:ascii="Times New Roman" w:hAnsi="Times New Roman" w:cs="Times New Roman"/>
          <w:b/>
          <w:sz w:val="28"/>
          <w:szCs w:val="28"/>
        </w:rPr>
        <w:t>20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Протезы </w:t>
      </w:r>
      <w:r w:rsidR="00DC1014">
        <w:rPr>
          <w:rFonts w:ascii="Times New Roman" w:hAnsi="Times New Roman"/>
          <w:sz w:val="24"/>
        </w:rPr>
        <w:t xml:space="preserve">нижних </w:t>
      </w:r>
      <w:r>
        <w:rPr>
          <w:rFonts w:ascii="Times New Roman" w:hAnsi="Times New Roman"/>
          <w:sz w:val="24"/>
        </w:rPr>
        <w:t>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323"/>
        <w:gridCol w:w="1297"/>
      </w:tblGrid>
      <w:tr w:rsidR="007D411E" w:rsidRPr="008109BA" w:rsidTr="008951E9">
        <w:trPr>
          <w:jc w:val="center"/>
        </w:trPr>
        <w:tc>
          <w:tcPr>
            <w:tcW w:w="1951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323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CA0AFF" w:rsidRPr="008109BA" w:rsidTr="008951E9">
        <w:trPr>
          <w:trHeight w:val="1692"/>
          <w:jc w:val="center"/>
        </w:trPr>
        <w:tc>
          <w:tcPr>
            <w:tcW w:w="1951" w:type="dxa"/>
            <w:shd w:val="clear" w:color="auto" w:fill="auto"/>
          </w:tcPr>
          <w:p w:rsidR="00CA0AFF" w:rsidRDefault="00CA0AFF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</w:t>
            </w:r>
            <w:r w:rsidR="00895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типа </w:t>
            </w:r>
            <w:r w:rsidR="002D0F30">
              <w:rPr>
                <w:rFonts w:ascii="Times New Roman" w:eastAsia="Calibri" w:hAnsi="Times New Roman" w:cs="Times New Roman"/>
                <w:sz w:val="24"/>
                <w:szCs w:val="24"/>
              </w:rPr>
              <w:t>высокого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</w:t>
            </w:r>
            <w:r w:rsidR="002D0F30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активности</w:t>
            </w: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6D73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73" w:rsidRPr="000A2FD4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3" w:type="dxa"/>
            <w:shd w:val="clear" w:color="auto" w:fill="auto"/>
          </w:tcPr>
          <w:p w:rsidR="00CA0AFF" w:rsidRPr="005361F7" w:rsidRDefault="005361F7" w:rsidP="0024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F7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3-4 уровня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61F7"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силиконовым чехлом.  Пробная приемная гильза из </w:t>
            </w:r>
            <w:proofErr w:type="spellStart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 xml:space="preserve"> 2 шт. Постоянная приемная гильза по слепку из литьевого слоистого пластика на основе акриловых смол. В качестве вкладного элемента применяются силиконовые чехлы (2 шт.), с использованием съемной вакуумной мембраной (4 шт.). Трубка соединительная – 1 шт. Клапан вакуумный – 1шт.   Поворотный регулировочно-соединительный узел - 1шт. РСУ винтовой, РСУ гильзовый. Несущий модуль. Коленный модуль пневматический 2-3 уровня активности с плавным перекатом в фазе переноса.  Стопа KINTERRA ROM – 1 шт. с разделенными носком и пяткой улучшающая контакт с поверхностью. Предотвращает спотыкание и падение пациента, обеспечивает плавную работу при больших перепадах температур. С 12 гр. </w:t>
            </w:r>
            <w:proofErr w:type="spellStart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>плантарной</w:t>
            </w:r>
            <w:proofErr w:type="spellEnd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 xml:space="preserve"> и дорсальной флексией со смещенной кзади осью шарнира обеспечивают походку максимально приближенной к естественной. Изменяющаяся высота каблука от 0 до 3,5 см. Торсионное устройство помогает гасить ротационные нагрузки. Облицовка мягкая модульная полиуретановая-1 шт.  Косметическое покрытие облицовки - чулки ортопедические </w:t>
            </w:r>
            <w:proofErr w:type="spellStart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5361F7">
              <w:rPr>
                <w:rFonts w:ascii="Times New Roman" w:hAnsi="Times New Roman" w:cs="Times New Roman"/>
                <w:sz w:val="24"/>
                <w:szCs w:val="24"/>
              </w:rPr>
              <w:t xml:space="preserve"> – 1 пара.  Протез предназначен для перемещения инвалида со средней, высокой или изменяющейся скоростью, преодоления препятствий и выполнения действий, связанных с его работой. Восстановление способности передвижения не только в помещении, но и на открытом пространстве. Возвращение к выполнению своей трудовой деятельности. Тип протеза постоянный</w:t>
            </w:r>
          </w:p>
        </w:tc>
        <w:tc>
          <w:tcPr>
            <w:tcW w:w="1297" w:type="dxa"/>
          </w:tcPr>
          <w:p w:rsidR="00CA0AFF" w:rsidRPr="000A2FD4" w:rsidRDefault="0028036B" w:rsidP="008951E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A0AFF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CA0AFF" w:rsidRPr="000A2FD4" w:rsidRDefault="00CA0AFF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0AFF" w:rsidRPr="000A2FD4" w:rsidRDefault="00CA0AFF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CA0AFF" w:rsidRPr="000A2FD4" w:rsidRDefault="00CA0AFF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0AFF" w:rsidRPr="000A2FD4" w:rsidRDefault="00ED04DF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</w:tbl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</w:t>
      </w:r>
      <w:r w:rsidR="007D51AA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lastRenderedPageBreak/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bookmarkStart w:id="0" w:name="OLE_LINK15"/>
      <w:bookmarkStart w:id="1" w:name="OLE_LINK16"/>
      <w:bookmarkStart w:id="2" w:name="OLE_LINK17"/>
      <w:bookmarkStart w:id="3" w:name="OLE_LINK26"/>
      <w:bookmarkStart w:id="4" w:name="_GoBack"/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9C3545" w:rsidRPr="00253283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83035F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- </w:t>
      </w:r>
      <w:r w:rsidR="0083035F">
        <w:rPr>
          <w:rFonts w:ascii="Times New Roman" w:eastAsia="StarSymbol" w:hAnsi="Times New Roman"/>
          <w:spacing w:val="-2"/>
          <w:sz w:val="24"/>
        </w:rPr>
        <w:t>на протезы бедра и голени м</w:t>
      </w:r>
      <w:r w:rsidR="006244A5">
        <w:rPr>
          <w:rFonts w:ascii="Times New Roman" w:eastAsia="StarSymbol" w:hAnsi="Times New Roman"/>
          <w:spacing w:val="-2"/>
          <w:sz w:val="24"/>
        </w:rPr>
        <w:t>еталлические не менее 9 месяцев</w:t>
      </w:r>
      <w:r w:rsidR="0083035F">
        <w:rPr>
          <w:rFonts w:ascii="Times New Roman" w:eastAsia="StarSymbol" w:hAnsi="Times New Roman"/>
          <w:spacing w:val="-2"/>
          <w:sz w:val="24"/>
        </w:rPr>
        <w:t xml:space="preserve">. </w:t>
      </w:r>
    </w:p>
    <w:bookmarkEnd w:id="0"/>
    <w:bookmarkEnd w:id="1"/>
    <w:bookmarkEnd w:id="2"/>
    <w:bookmarkEnd w:id="3"/>
    <w:bookmarkEnd w:id="4"/>
    <w:p w:rsidR="009C3545" w:rsidRPr="00253283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 течение этого срока предприятие-изготовитель обязано производить замену или ремонт. Проезд к месту проведения гарантийного ремонта или замены производить за счет средств предприятия-изготовителя.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Срок дополнительной гарантии качества товара, работ, услуг не должен превышать срока службы товара.</w:t>
      </w:r>
    </w:p>
    <w:p w:rsidR="0028036B" w:rsidRDefault="002B742C" w:rsidP="002803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StarSymbol" w:hAnsi="Times New Roman"/>
          <w:spacing w:val="-2"/>
          <w:sz w:val="24"/>
        </w:rPr>
        <w:t xml:space="preserve">Срок пользования Изделием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 xml:space="preserve">Российская Федерация, </w:t>
      </w:r>
      <w:r w:rsidR="00CF29BC">
        <w:rPr>
          <w:rStyle w:val="T2"/>
          <w:bCs/>
        </w:rPr>
        <w:t>Дальневосточный</w:t>
      </w:r>
      <w:r>
        <w:rPr>
          <w:rStyle w:val="T2"/>
          <w:bCs/>
        </w:rPr>
        <w:t xml:space="preserve">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6244A5">
        <w:rPr>
          <w:rFonts w:ascii="Times New Roman" w:hAnsi="Times New Roman"/>
          <w:sz w:val="24"/>
        </w:rPr>
        <w:t>30</w:t>
      </w:r>
      <w:r w:rsidRPr="0079669D">
        <w:rPr>
          <w:rFonts w:ascii="Times New Roman" w:hAnsi="Times New Roman"/>
          <w:sz w:val="24"/>
        </w:rPr>
        <w:t>.</w:t>
      </w:r>
      <w:r w:rsidR="005361F7">
        <w:rPr>
          <w:rFonts w:ascii="Times New Roman" w:hAnsi="Times New Roman"/>
          <w:sz w:val="24"/>
        </w:rPr>
        <w:t>06</w:t>
      </w:r>
      <w:r w:rsidRPr="0079669D">
        <w:rPr>
          <w:rFonts w:ascii="Times New Roman" w:hAnsi="Times New Roman"/>
          <w:sz w:val="24"/>
        </w:rPr>
        <w:t>.20</w:t>
      </w:r>
      <w:r w:rsidR="005361F7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</w:p>
    <w:sectPr w:rsidR="002B742C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33FAA"/>
    <w:rsid w:val="000959C0"/>
    <w:rsid w:val="000A2FD4"/>
    <w:rsid w:val="000D341A"/>
    <w:rsid w:val="0010133A"/>
    <w:rsid w:val="00117503"/>
    <w:rsid w:val="00117BD9"/>
    <w:rsid w:val="00136D36"/>
    <w:rsid w:val="00216138"/>
    <w:rsid w:val="002332B6"/>
    <w:rsid w:val="00243A4A"/>
    <w:rsid w:val="00257B4B"/>
    <w:rsid w:val="00270E5D"/>
    <w:rsid w:val="002738CE"/>
    <w:rsid w:val="0028036B"/>
    <w:rsid w:val="002B742C"/>
    <w:rsid w:val="002D0F30"/>
    <w:rsid w:val="002E28E1"/>
    <w:rsid w:val="003201AA"/>
    <w:rsid w:val="00344A99"/>
    <w:rsid w:val="00346BE5"/>
    <w:rsid w:val="003651E8"/>
    <w:rsid w:val="00366929"/>
    <w:rsid w:val="003E6E26"/>
    <w:rsid w:val="003F6F0A"/>
    <w:rsid w:val="00410DDF"/>
    <w:rsid w:val="00440F40"/>
    <w:rsid w:val="00475F92"/>
    <w:rsid w:val="004C0949"/>
    <w:rsid w:val="004C534F"/>
    <w:rsid w:val="004C64B2"/>
    <w:rsid w:val="00503CD0"/>
    <w:rsid w:val="0052762B"/>
    <w:rsid w:val="005361F7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244A5"/>
    <w:rsid w:val="00642473"/>
    <w:rsid w:val="00650A22"/>
    <w:rsid w:val="00652D58"/>
    <w:rsid w:val="0066322C"/>
    <w:rsid w:val="00665845"/>
    <w:rsid w:val="00667574"/>
    <w:rsid w:val="0067501B"/>
    <w:rsid w:val="006773C5"/>
    <w:rsid w:val="00683125"/>
    <w:rsid w:val="006A2ABC"/>
    <w:rsid w:val="006B632C"/>
    <w:rsid w:val="006D258F"/>
    <w:rsid w:val="00711C87"/>
    <w:rsid w:val="0075478C"/>
    <w:rsid w:val="0077435E"/>
    <w:rsid w:val="007825BD"/>
    <w:rsid w:val="00792D96"/>
    <w:rsid w:val="007A62D8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951E9"/>
    <w:rsid w:val="008A6341"/>
    <w:rsid w:val="008B6486"/>
    <w:rsid w:val="008F243F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5938"/>
    <w:rsid w:val="00A40006"/>
    <w:rsid w:val="00A70C5F"/>
    <w:rsid w:val="00AC6698"/>
    <w:rsid w:val="00AF016D"/>
    <w:rsid w:val="00B15B7B"/>
    <w:rsid w:val="00B2363C"/>
    <w:rsid w:val="00B352FF"/>
    <w:rsid w:val="00B610D3"/>
    <w:rsid w:val="00B81331"/>
    <w:rsid w:val="00BA060A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CF29BC"/>
    <w:rsid w:val="00D227F9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3631D"/>
    <w:rsid w:val="00E54D21"/>
    <w:rsid w:val="00E86D73"/>
    <w:rsid w:val="00EA3765"/>
    <w:rsid w:val="00EA3B11"/>
    <w:rsid w:val="00ED04DF"/>
    <w:rsid w:val="00ED27E1"/>
    <w:rsid w:val="00F0024B"/>
    <w:rsid w:val="00F56A0C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7E2"/>
  <w15:docId w15:val="{F6052189-BAC3-4A00-B4CE-2065F41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Алена</cp:lastModifiedBy>
  <cp:revision>60</cp:revision>
  <cp:lastPrinted>2020-01-27T04:24:00Z</cp:lastPrinted>
  <dcterms:created xsi:type="dcterms:W3CDTF">2015-10-29T06:52:00Z</dcterms:created>
  <dcterms:modified xsi:type="dcterms:W3CDTF">2020-02-03T11:30:00Z</dcterms:modified>
</cp:coreProperties>
</file>