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5" w:type="dxa"/>
        <w:tblInd w:w="-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383"/>
        <w:gridCol w:w="6507"/>
        <w:gridCol w:w="6507"/>
        <w:gridCol w:w="709"/>
      </w:tblGrid>
      <w:tr w:rsidR="00082D0F" w:rsidRPr="001C49F2" w:rsidTr="00082D0F">
        <w:trPr>
          <w:trHeight w:val="75"/>
        </w:trPr>
        <w:tc>
          <w:tcPr>
            <w:tcW w:w="519" w:type="dxa"/>
            <w:tcBorders>
              <w:right w:val="single" w:sz="4" w:space="0" w:color="auto"/>
            </w:tcBorders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line="240" w:lineRule="auto"/>
              <w:ind w:left="27"/>
              <w:jc w:val="center"/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49F2"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3" w:type="dxa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</w:pPr>
          </w:p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</w:pPr>
            <w:r w:rsidRPr="001C49F2">
              <w:rPr>
                <w:rFonts w:eastAsia="Arial Unicode MS"/>
                <w:bCs/>
                <w:i/>
                <w:kern w:val="3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13014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Unicode MS"/>
                <w:i/>
                <w:kern w:val="3"/>
                <w:sz w:val="20"/>
                <w:szCs w:val="22"/>
                <w:lang w:eastAsia="ru-RU"/>
              </w:rPr>
            </w:pPr>
            <w:r w:rsidRPr="001C49F2">
              <w:rPr>
                <w:rFonts w:eastAsia="Arial Unicode MS"/>
                <w:bCs/>
                <w:i/>
                <w:kern w:val="3"/>
                <w:sz w:val="20"/>
                <w:szCs w:val="22"/>
                <w:lang w:eastAsia="ru-RU"/>
              </w:rPr>
              <w:t>Функциональные, технические, качественные характеристики, эксплуатационные характеристики Товара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1C49F2" w:rsidRDefault="00082D0F" w:rsidP="007D6863">
            <w:pPr>
              <w:suppressAutoHyphens w:val="0"/>
              <w:spacing w:after="200" w:line="240" w:lineRule="auto"/>
              <w:jc w:val="center"/>
              <w:textAlignment w:val="auto"/>
              <w:rPr>
                <w:rFonts w:eastAsia="Arial Unicode MS"/>
                <w:i/>
                <w:kern w:val="3"/>
                <w:sz w:val="20"/>
                <w:szCs w:val="22"/>
                <w:lang w:eastAsia="ru-RU"/>
              </w:rPr>
            </w:pPr>
            <w:r w:rsidRPr="001C49F2">
              <w:rPr>
                <w:rFonts w:eastAsia="Arial Unicode MS"/>
                <w:i/>
                <w:kern w:val="3"/>
                <w:sz w:val="20"/>
                <w:szCs w:val="22"/>
                <w:lang w:eastAsia="ru-RU"/>
              </w:rPr>
              <w:t>Кол-во (шт.)</w:t>
            </w:r>
          </w:p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line="240" w:lineRule="auto"/>
              <w:jc w:val="center"/>
              <w:rPr>
                <w:rFonts w:eastAsia="Arial Unicode MS"/>
                <w:i/>
                <w:kern w:val="3"/>
                <w:sz w:val="20"/>
                <w:szCs w:val="22"/>
                <w:lang w:eastAsia="ru-RU"/>
              </w:rPr>
            </w:pPr>
          </w:p>
        </w:tc>
      </w:tr>
      <w:tr w:rsidR="00082D0F" w:rsidRPr="001C49F2" w:rsidTr="00082D0F">
        <w:trPr>
          <w:trHeight w:val="847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CYR"/>
                <w:kern w:val="3"/>
                <w:sz w:val="20"/>
                <w:szCs w:val="20"/>
                <w:lang w:eastAsia="ru-RU"/>
              </w:rPr>
            </w:pPr>
            <w:r w:rsidRPr="001C49F2">
              <w:rPr>
                <w:rFonts w:eastAsia="Arial CYR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3" w:type="dxa"/>
            <w:vAlign w:val="center"/>
          </w:tcPr>
          <w:p w:rsidR="00082D0F" w:rsidRPr="00A749A9" w:rsidRDefault="00082D0F" w:rsidP="007D6863">
            <w:pPr>
              <w:jc w:val="center"/>
              <w:rPr>
                <w:bCs/>
                <w:sz w:val="22"/>
                <w:szCs w:val="22"/>
              </w:rPr>
            </w:pPr>
            <w:r w:rsidRPr="0028706F">
              <w:rPr>
                <w:rFonts w:eastAsia="Arial CYR"/>
                <w:kern w:val="0"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голени модульными, в том числе при недоразвитии</w:t>
            </w:r>
          </w:p>
        </w:tc>
        <w:tc>
          <w:tcPr>
            <w:tcW w:w="6507" w:type="dxa"/>
            <w:tcBorders>
              <w:left w:val="single" w:sz="4" w:space="0" w:color="auto"/>
            </w:tcBorders>
            <w:vAlign w:val="center"/>
          </w:tcPr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>8-07-09 Протез голени модульный, в том числе при недоразвитии.</w:t>
            </w:r>
          </w:p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 xml:space="preserve">2. Описание: Протез голени с силиконовым или полимерным чехлом на короткую и среднюю культю, модульный. Формообразующая часть косметической облицовки: модульная мягкая полиуретановая или листовой поролон. Косметическое покрытие облицовки: чулки ортопедические перлоновые или силоновые, допускается покрытие защитное плёночное. </w:t>
            </w:r>
          </w:p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 xml:space="preserve">Приёмная гильза индивидуальная (одна пробная гильза). </w:t>
            </w:r>
          </w:p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 xml:space="preserve">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гелевые, крепление с использованием замка или вакуумной мембраны. </w:t>
            </w:r>
          </w:p>
          <w:p w:rsidR="00082D0F" w:rsidRPr="00AA310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AA3101">
              <w:rPr>
                <w:bCs/>
                <w:sz w:val="20"/>
                <w:szCs w:val="20"/>
              </w:rPr>
              <w:t>Регулировочно-соединительные устройства: должны соответствовать весу инвалида. Стопа: со средней степенью энергосбережения или стопа модульная бесшарнирная с опорным вкладным элементом из углеволокна для пациента со средним уровнем активности. Тип протеза: постоянный.</w:t>
            </w:r>
          </w:p>
        </w:tc>
        <w:tc>
          <w:tcPr>
            <w:tcW w:w="6507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техническим и функциональным характеристикам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содержать комплекс медицинских, технических и социальных мероприятий, проводимых с инвалидами и отдельными категориями граждан из числа ветеранов, имеющими нарушения и (или) дефекты опорно-двигательного аппарата, в целя</w:t>
            </w:r>
            <w:bookmarkStart w:id="0" w:name="_GoBack"/>
            <w:bookmarkEnd w:id="0"/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х восстановления или компенсации ограничений их жизнедеятельности.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безопасности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Проведение работ по обеспечению инвалидов и отдельных категорий граждан из числа ветеранов протезами нижних конечностей должно осуществляться при наличии декларация о соответствии продукции требованиям технических регламентов.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результатам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нижних конечностей должны быть выполнены с надлежащим качеством и в установленные сроки.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размерам, упаковке и отгрузке результатов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</w:t>
            </w: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lastRenderedPageBreak/>
              <w:t>50444-92 «Приборы аппараты и оборудование медицинские. Общие технические условия» ГОСТ 30324.0-95 (МЭК 601-1-</w:t>
            </w:r>
            <w:proofErr w:type="gramStart"/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88)/</w:t>
            </w:r>
            <w:proofErr w:type="gramEnd"/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Требования к срокам и (или) объему предоставления гарантии качества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Место, условия и сроки (периоды) выполнения работ</w:t>
            </w:r>
          </w:p>
          <w:p w:rsidR="00082D0F" w:rsidRPr="008479EE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2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 xml:space="preserve">Изготовление индивидуальное по меркам инвалида. Место выполнения работ для обеспечения инвалидов и отдельных категорий граждан из числа ветеранов протезами нижних конечностей – Ивановская область. </w:t>
            </w:r>
          </w:p>
          <w:p w:rsidR="00082D0F" w:rsidRPr="001C49F2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  <w:r w:rsidRPr="008479EE">
              <w:rPr>
                <w:rFonts w:eastAsia="Arial"/>
                <w:kern w:val="0"/>
                <w:sz w:val="20"/>
                <w:szCs w:val="20"/>
                <w:lang w:eastAsia="ru-RU"/>
              </w:rPr>
              <w:t>Срок выполнения работ: в течение 2020 года (до 01 октября 2020 г. должно быть выполнено 100% работ). Срок выполнения Работ по изготовлению протезов со дня получения списков или обращения инвалида (ветерана) к Исполнителю по направлению исполнительного органа Фонда - не более 30 дней.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6D00F6" w:rsidRDefault="00082D0F" w:rsidP="007D6863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line="240" w:lineRule="auto"/>
              <w:ind w:right="-10" w:hanging="8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082D0F" w:rsidRPr="001C49F2" w:rsidTr="00082D0F">
        <w:trPr>
          <w:trHeight w:val="2972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CYR"/>
                <w:kern w:val="3"/>
                <w:sz w:val="20"/>
                <w:szCs w:val="20"/>
                <w:lang w:eastAsia="ru-RU"/>
              </w:rPr>
            </w:pPr>
            <w:r w:rsidRPr="001C49F2">
              <w:rPr>
                <w:rFonts w:eastAsia="Arial CYR"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3" w:type="dxa"/>
            <w:vAlign w:val="center"/>
          </w:tcPr>
          <w:p w:rsidR="00082D0F" w:rsidRPr="003B0568" w:rsidRDefault="00082D0F" w:rsidP="007D6863">
            <w:pPr>
              <w:jc w:val="center"/>
              <w:rPr>
                <w:rFonts w:eastAsia="Arial CYR"/>
                <w:kern w:val="0"/>
                <w:sz w:val="20"/>
                <w:szCs w:val="20"/>
              </w:rPr>
            </w:pPr>
            <w:r w:rsidRPr="006A05BA">
              <w:rPr>
                <w:rFonts w:eastAsia="Arial CYR"/>
                <w:kern w:val="0"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бедра для купания</w:t>
            </w:r>
          </w:p>
        </w:tc>
        <w:tc>
          <w:tcPr>
            <w:tcW w:w="6507" w:type="dxa"/>
            <w:tcBorders>
              <w:left w:val="single" w:sz="4" w:space="0" w:color="auto"/>
            </w:tcBorders>
            <w:vAlign w:val="center"/>
          </w:tcPr>
          <w:p w:rsidR="00082D0F" w:rsidRPr="00B40E8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82D0F" w:rsidRPr="00B40E8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8-07-05 Протез бедра для купания.</w:t>
            </w:r>
          </w:p>
          <w:p w:rsidR="00082D0F" w:rsidRPr="00B40E8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2. Описание: протез бедра модульный. Косметическая облицовка: жесткая водостойкая, изготовленная индивидуально, косметическое покрытие защитное пленочное.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E81">
              <w:rPr>
                <w:bCs/>
                <w:sz w:val="20"/>
                <w:szCs w:val="20"/>
              </w:rPr>
              <w:t xml:space="preserve">Гильза: индивидуальная, изготовленная по индивидуальному слепку с культи инвалида. </w:t>
            </w:r>
            <w:r>
              <w:rPr>
                <w:bCs/>
                <w:sz w:val="20"/>
                <w:szCs w:val="20"/>
              </w:rPr>
              <w:t xml:space="preserve"> Примерочная гильза: одна.</w:t>
            </w:r>
            <w:r w:rsidRPr="00B40E81">
              <w:rPr>
                <w:bCs/>
                <w:sz w:val="20"/>
                <w:szCs w:val="20"/>
              </w:rPr>
              <w:t xml:space="preserve"> Постоянная гильза: из литьевого пластика на основе акриловых смол. Крепление протеза: вакуумное или замковое. Силиконовый лайнер, водоустойчивый замок для крепления лайнера. </w:t>
            </w:r>
          </w:p>
          <w:p w:rsidR="00082D0F" w:rsidRPr="00B40E8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 xml:space="preserve">Регулировочно-соединительные устройства: на нагрузку до 150 кг. Стопа: водостойкая. Коленный шарнир: водостойкий, укомплектованный фиксатором. </w:t>
            </w:r>
          </w:p>
          <w:p w:rsidR="00082D0F" w:rsidRPr="00B40E81" w:rsidRDefault="00082D0F" w:rsidP="007D6863">
            <w:pPr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Дополнительные функциональные устройства: отсутствуют.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E81">
              <w:rPr>
                <w:bCs/>
                <w:sz w:val="20"/>
                <w:szCs w:val="20"/>
              </w:rPr>
              <w:t>Тип протеза по назначению: для купания.</w:t>
            </w:r>
          </w:p>
        </w:tc>
        <w:tc>
          <w:tcPr>
            <w:tcW w:w="650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082D0F" w:rsidRPr="001C49F2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6D00F6" w:rsidRDefault="00082D0F" w:rsidP="007D6863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line="240" w:lineRule="auto"/>
              <w:ind w:right="-10" w:hanging="8"/>
              <w:jc w:val="center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Unicode MS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082D0F" w:rsidRPr="001C49F2" w:rsidTr="00082D0F">
        <w:trPr>
          <w:trHeight w:val="3967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CYR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CYR"/>
                <w:kern w:val="3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83" w:type="dxa"/>
            <w:vAlign w:val="center"/>
          </w:tcPr>
          <w:p w:rsidR="00082D0F" w:rsidRPr="001C49F2" w:rsidRDefault="00082D0F" w:rsidP="007D6863">
            <w:pPr>
              <w:widowControl w:val="0"/>
              <w:autoSpaceDN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47F4">
              <w:rPr>
                <w:rFonts w:eastAsia="Andale Sans UI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6507" w:type="dxa"/>
            <w:tcBorders>
              <w:left w:val="single" w:sz="4" w:space="0" w:color="auto"/>
            </w:tcBorders>
          </w:tcPr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 xml:space="preserve">8-07-10 Протез бедра модульный, в том числе при врожденном недоразвитии. </w:t>
            </w:r>
          </w:p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Описание:</w:t>
            </w:r>
            <w:r w:rsidRPr="00B40E81">
              <w:rPr>
                <w:bCs/>
                <w:sz w:val="20"/>
                <w:szCs w:val="20"/>
              </w:rPr>
              <w:t xml:space="preserve">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полимерные, крепление с использованием замка или вакуумной мембраны. Регулировочно-соединительные устройства должны соответствовать весу инвалида. Стопа со средней степенью энергосбережения. Коленный шарнир одноосный гидравлический с контролем фазы переноса и опоры, с функцией ручного замка. Поддержка при приседании, угол сгибания 150 градусов. Водоустойчив. Тип протеза: постоянный</w:t>
            </w:r>
          </w:p>
        </w:tc>
        <w:tc>
          <w:tcPr>
            <w:tcW w:w="650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082D0F" w:rsidRPr="001C49F2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line="240" w:lineRule="auto"/>
              <w:ind w:right="-10" w:hanging="8"/>
              <w:jc w:val="center"/>
              <w:rPr>
                <w:rFonts w:eastAsia="Arial Unicode MS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kern w:val="3"/>
                <w:sz w:val="22"/>
                <w:szCs w:val="22"/>
                <w:lang w:eastAsia="ru-RU"/>
              </w:rPr>
              <w:t>1</w:t>
            </w:r>
          </w:p>
        </w:tc>
      </w:tr>
      <w:tr w:rsidR="00082D0F" w:rsidRPr="001C49F2" w:rsidTr="00082D0F">
        <w:trPr>
          <w:trHeight w:val="985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082D0F" w:rsidRDefault="00082D0F" w:rsidP="007D6863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ind w:left="27"/>
              <w:jc w:val="center"/>
              <w:rPr>
                <w:rFonts w:eastAsia="Arial CYR"/>
                <w:kern w:val="3"/>
                <w:sz w:val="20"/>
                <w:szCs w:val="20"/>
                <w:lang w:eastAsia="ru-RU"/>
              </w:rPr>
            </w:pPr>
            <w:r>
              <w:rPr>
                <w:rFonts w:eastAsia="Arial CYR"/>
                <w:kern w:val="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3" w:type="dxa"/>
            <w:vAlign w:val="center"/>
          </w:tcPr>
          <w:p w:rsidR="00082D0F" w:rsidRPr="001C49F2" w:rsidRDefault="00082D0F" w:rsidP="007D6863">
            <w:pPr>
              <w:widowControl w:val="0"/>
              <w:autoSpaceDN w:val="0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A1092">
              <w:rPr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при вычленении бедра модульными</w:t>
            </w:r>
          </w:p>
        </w:tc>
        <w:tc>
          <w:tcPr>
            <w:tcW w:w="6507" w:type="dxa"/>
            <w:tcBorders>
              <w:left w:val="single" w:sz="4" w:space="0" w:color="auto"/>
            </w:tcBorders>
          </w:tcPr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 xml:space="preserve">8-07-11 Протез при вычленении бедра модульный </w:t>
            </w:r>
          </w:p>
          <w:p w:rsidR="00082D0F" w:rsidRPr="00B40E81" w:rsidRDefault="00082D0F" w:rsidP="007D6863">
            <w:pPr>
              <w:ind w:right="132"/>
              <w:jc w:val="both"/>
              <w:rPr>
                <w:bCs/>
                <w:sz w:val="20"/>
                <w:szCs w:val="20"/>
              </w:rPr>
            </w:pPr>
            <w:r w:rsidRPr="00B40E81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 xml:space="preserve">Описание: </w:t>
            </w:r>
            <w:r w:rsidRPr="00B40E81">
              <w:rPr>
                <w:bCs/>
                <w:sz w:val="20"/>
                <w:szCs w:val="20"/>
              </w:rPr>
              <w:t>Тип косметической облицовки - мягкая полиуретановая модульная (поролон). Косметическая оболочка - чулки перлоновые. Гильзы: приемная гильза индивидуальная, изготовленная по индивидуальному слепку с культи инвалида. Материал постоянной приемной гильзы - литьевой слоистый пластик на основе акриловых смол Вкладная гильза из вспененных материалов. Крепление: поясное с использованием кожаных полуфабрикатов (без шин). Тип регулировочно-соединительных устройств на нагрузку до 100 кг. Стопа: с металлическим каркасом, подвижная во всех вертикальных плоскостях с регулируемой пациентом высотой каблука.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E81">
              <w:rPr>
                <w:bCs/>
                <w:sz w:val="20"/>
                <w:szCs w:val="20"/>
              </w:rPr>
              <w:t xml:space="preserve">Шарниры: коленный шарнир Отто </w:t>
            </w:r>
            <w:proofErr w:type="spellStart"/>
            <w:r w:rsidRPr="00B40E81">
              <w:rPr>
                <w:bCs/>
                <w:sz w:val="20"/>
                <w:szCs w:val="20"/>
              </w:rPr>
              <w:t>Бокк</w:t>
            </w:r>
            <w:proofErr w:type="spellEnd"/>
            <w:r w:rsidRPr="00B40E81">
              <w:rPr>
                <w:bCs/>
                <w:sz w:val="20"/>
                <w:szCs w:val="20"/>
              </w:rPr>
              <w:t xml:space="preserve"> с ручным замком с </w:t>
            </w:r>
            <w:proofErr w:type="spellStart"/>
            <w:r w:rsidRPr="00B40E81">
              <w:rPr>
                <w:bCs/>
                <w:sz w:val="20"/>
                <w:szCs w:val="20"/>
              </w:rPr>
              <w:t>голенооткидным</w:t>
            </w:r>
            <w:proofErr w:type="spellEnd"/>
            <w:r w:rsidRPr="00B40E81">
              <w:rPr>
                <w:bCs/>
                <w:sz w:val="20"/>
                <w:szCs w:val="20"/>
              </w:rPr>
              <w:t xml:space="preserve"> устройством. Тазобедренный шарнир </w:t>
            </w:r>
            <w:proofErr w:type="spellStart"/>
            <w:r w:rsidRPr="00B40E81">
              <w:rPr>
                <w:bCs/>
                <w:sz w:val="20"/>
                <w:szCs w:val="20"/>
              </w:rPr>
              <w:t>беззамковый</w:t>
            </w:r>
            <w:proofErr w:type="spellEnd"/>
            <w:r w:rsidRPr="00B40E81">
              <w:rPr>
                <w:bCs/>
                <w:sz w:val="20"/>
                <w:szCs w:val="20"/>
              </w:rPr>
              <w:t xml:space="preserve"> Отто </w:t>
            </w:r>
            <w:proofErr w:type="spellStart"/>
            <w:r w:rsidRPr="00B40E81">
              <w:rPr>
                <w:bCs/>
                <w:sz w:val="20"/>
                <w:szCs w:val="20"/>
              </w:rPr>
              <w:t>Бокк</w:t>
            </w:r>
            <w:proofErr w:type="spellEnd"/>
            <w:r w:rsidRPr="00B40E81">
              <w:rPr>
                <w:bCs/>
                <w:sz w:val="20"/>
                <w:szCs w:val="20"/>
              </w:rPr>
              <w:t>, моноцентрический. Поворотное устройство: отсутствует. Тип протеза: постоянный.</w:t>
            </w:r>
          </w:p>
        </w:tc>
        <w:tc>
          <w:tcPr>
            <w:tcW w:w="650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082D0F" w:rsidRPr="001C49F2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line="240" w:lineRule="auto"/>
              <w:ind w:right="-10" w:hanging="8"/>
              <w:jc w:val="center"/>
              <w:rPr>
                <w:rFonts w:eastAsia="Arial Unicode MS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kern w:val="3"/>
                <w:sz w:val="22"/>
                <w:szCs w:val="22"/>
                <w:lang w:eastAsia="ru-RU"/>
              </w:rPr>
              <w:t>1</w:t>
            </w:r>
          </w:p>
        </w:tc>
      </w:tr>
      <w:tr w:rsidR="00082D0F" w:rsidRPr="001C49F2" w:rsidTr="00082D0F">
        <w:trPr>
          <w:trHeight w:val="213"/>
        </w:trPr>
        <w:tc>
          <w:tcPr>
            <w:tcW w:w="14916" w:type="dxa"/>
            <w:gridSpan w:val="4"/>
            <w:tcBorders>
              <w:right w:val="single" w:sz="4" w:space="0" w:color="auto"/>
            </w:tcBorders>
            <w:vAlign w:val="center"/>
          </w:tcPr>
          <w:p w:rsidR="00082D0F" w:rsidRPr="001C49F2" w:rsidRDefault="00082D0F" w:rsidP="007D6863">
            <w:pPr>
              <w:shd w:val="clear" w:color="auto" w:fill="FFFFFF"/>
              <w:suppressAutoHyphens w:val="0"/>
              <w:autoSpaceDE w:val="0"/>
              <w:spacing w:line="240" w:lineRule="auto"/>
              <w:jc w:val="right"/>
              <w:textAlignment w:val="auto"/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082D0F" w:rsidRPr="001C49F2" w:rsidRDefault="00082D0F" w:rsidP="007D6863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line="240" w:lineRule="auto"/>
              <w:ind w:right="-10" w:hanging="8"/>
              <w:jc w:val="center"/>
              <w:rPr>
                <w:rFonts w:eastAsia="Arial Unicode MS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kern w:val="3"/>
                <w:sz w:val="22"/>
                <w:szCs w:val="22"/>
                <w:lang w:eastAsia="ru-RU"/>
              </w:rPr>
              <w:t>5</w:t>
            </w:r>
          </w:p>
        </w:tc>
      </w:tr>
    </w:tbl>
    <w:p w:rsidR="004503A3" w:rsidRDefault="004503A3"/>
    <w:sectPr w:rsidR="004503A3" w:rsidSect="00082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F"/>
    <w:rsid w:val="00082D0F"/>
    <w:rsid w:val="004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F8D8-B9E9-486A-8C89-284B88B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0F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2020-02-25T13:18:00Z</dcterms:created>
  <dcterms:modified xsi:type="dcterms:W3CDTF">2020-02-25T13:19:00Z</dcterms:modified>
</cp:coreProperties>
</file>