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57" w:rsidRDefault="00D20C57" w:rsidP="00AB2C08">
      <w:pPr>
        <w:keepNext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Техническое задание </w:t>
      </w:r>
    </w:p>
    <w:p w:rsidR="00D20C57" w:rsidRDefault="00D20C57" w:rsidP="00AB2C08">
      <w:pPr>
        <w:keepNext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Выполнение работ по обеспечению в 2020 году застрахованного лица, получившего повреждение здоровья вследствие несчастного случая на производстве, протезом плеча с внешним источником энергии</w:t>
      </w:r>
    </w:p>
    <w:p w:rsidR="00D20C57" w:rsidRDefault="00D20C57" w:rsidP="00AB2C08">
      <w:pPr>
        <w:keepNext/>
        <w:spacing w:line="240" w:lineRule="auto"/>
        <w:jc w:val="center"/>
        <w:rPr>
          <w:b/>
          <w:sz w:val="24"/>
        </w:rPr>
      </w:pPr>
    </w:p>
    <w:p w:rsidR="00AB2C08" w:rsidRDefault="00AB2C08" w:rsidP="00AB2C08">
      <w:pPr>
        <w:keepNext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Наименование товара, работ, услуг</w:t>
      </w:r>
    </w:p>
    <w:p w:rsidR="00AB2C08" w:rsidRDefault="00AB2C08" w:rsidP="00AB2C08">
      <w:pPr>
        <w:keepNext/>
        <w:spacing w:line="240" w:lineRule="auto"/>
        <w:jc w:val="center"/>
        <w:rPr>
          <w:b/>
          <w:sz w:val="24"/>
        </w:rPr>
      </w:pPr>
    </w:p>
    <w:p w:rsidR="00AB2C08" w:rsidRDefault="00AB2C08" w:rsidP="00AB2C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Протез конечности – техническое средство реабилитации, заменяющее частично или полностью отсутствующую, или имеющую врожденные дефекты, верхнюю конечность и служащее для восполнения косметического и (или) функционального дефекта.</w:t>
      </w:r>
    </w:p>
    <w:p w:rsidR="00AB2C08" w:rsidRDefault="00AB2C08" w:rsidP="00AB2C08">
      <w:pPr>
        <w:suppressAutoHyphens/>
        <w:spacing w:line="240" w:lineRule="auto"/>
        <w:ind w:firstLine="720"/>
        <w:jc w:val="both"/>
        <w:rPr>
          <w:sz w:val="24"/>
        </w:rPr>
      </w:pPr>
      <w:r>
        <w:rPr>
          <w:sz w:val="24"/>
        </w:rPr>
        <w:t xml:space="preserve">В соответствии с ГОСТом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ИСО 9999-2014 (раздел 6, п. 6.3.) «Вспомогательные средства для людей с ограничениями жизнедеятельности. Классификация и терминология» под протезом конечности понимается наружно применяемые устройства, используемые для замены, полностью или частично, отсутствующего или недостающего сегмента тела человека.</w:t>
      </w:r>
    </w:p>
    <w:p w:rsidR="00AB2C08" w:rsidRDefault="00AB2C08" w:rsidP="00AB2C08">
      <w:pPr>
        <w:tabs>
          <w:tab w:val="left" w:pos="180"/>
          <w:tab w:val="left" w:pos="708"/>
        </w:tabs>
        <w:spacing w:line="240" w:lineRule="auto"/>
        <w:jc w:val="both"/>
        <w:rPr>
          <w:b/>
          <w:sz w:val="24"/>
        </w:rPr>
      </w:pPr>
      <w:r>
        <w:rPr>
          <w:sz w:val="24"/>
        </w:rPr>
        <w:t xml:space="preserve">             Работы по обеспечению застрахованного лица, пострадавшего в результате несчастного случая на производстве, протезом </w:t>
      </w:r>
      <w:r w:rsidR="00B84A9A">
        <w:rPr>
          <w:sz w:val="24"/>
        </w:rPr>
        <w:t xml:space="preserve">плеча с внешним источником энергии </w:t>
      </w:r>
      <w:r>
        <w:rPr>
          <w:sz w:val="24"/>
        </w:rPr>
        <w:t xml:space="preserve">предусматривают индивидуальное изготовление: снятие мерок, примерка и изготовление протеза </w:t>
      </w:r>
      <w:r w:rsidR="00B84A9A" w:rsidRPr="00B84A9A">
        <w:rPr>
          <w:sz w:val="24"/>
        </w:rPr>
        <w:t>плеча с внешним источником энергии</w:t>
      </w:r>
      <w:r>
        <w:rPr>
          <w:sz w:val="24"/>
        </w:rPr>
        <w:t xml:space="preserve">; выдачу протеза </w:t>
      </w:r>
      <w:r w:rsidR="00B84A9A" w:rsidRPr="00B84A9A">
        <w:rPr>
          <w:sz w:val="24"/>
        </w:rPr>
        <w:t>плеча с внешним источником энергии</w:t>
      </w:r>
      <w:r>
        <w:rPr>
          <w:sz w:val="24"/>
        </w:rPr>
        <w:t>.</w:t>
      </w:r>
    </w:p>
    <w:p w:rsidR="00AB2C08" w:rsidRDefault="00AB2C08" w:rsidP="00AB2C08">
      <w:pPr>
        <w:suppressAutoHyphens/>
        <w:spacing w:line="240" w:lineRule="auto"/>
        <w:jc w:val="center"/>
        <w:rPr>
          <w:b/>
          <w:sz w:val="24"/>
        </w:rPr>
      </w:pPr>
    </w:p>
    <w:p w:rsidR="00AB2C08" w:rsidRDefault="00AB2C08" w:rsidP="00AB2C08">
      <w:pPr>
        <w:suppressAutoHyphens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Требования к техническим характеристикам и качеству работ</w:t>
      </w:r>
    </w:p>
    <w:p w:rsidR="00AB2C08" w:rsidRDefault="00AB2C08" w:rsidP="00AB2C08">
      <w:pPr>
        <w:suppressAutoHyphens/>
        <w:spacing w:line="240" w:lineRule="auto"/>
        <w:jc w:val="center"/>
        <w:rPr>
          <w:b/>
          <w:sz w:val="24"/>
        </w:rPr>
      </w:pPr>
    </w:p>
    <w:p w:rsidR="00AB2C08" w:rsidRDefault="00AB2C08" w:rsidP="00AB2C0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Протез должен изготавливаться с учетом анатомических дефектов верхней конечности индивидуально для пациента, при этом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медико-социальные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аспекты.</w:t>
      </w:r>
    </w:p>
    <w:p w:rsidR="00AB2C08" w:rsidRDefault="00AB2C08" w:rsidP="00AB2C08">
      <w:pPr>
        <w:tabs>
          <w:tab w:val="left" w:pos="0"/>
        </w:tabs>
        <w:spacing w:line="240" w:lineRule="auto"/>
        <w:ind w:firstLine="708"/>
        <w:jc w:val="both"/>
        <w:rPr>
          <w:sz w:val="24"/>
        </w:rPr>
      </w:pPr>
      <w:r>
        <w:rPr>
          <w:sz w:val="24"/>
        </w:rPr>
        <w:t>Материалы приемной гильзы, контактирующие с телом человека, должны быть разрешены к применению в установленном законодательством порядке.</w:t>
      </w:r>
    </w:p>
    <w:p w:rsidR="00AB2C08" w:rsidRDefault="00AB2C08" w:rsidP="00AB2C08">
      <w:pPr>
        <w:tabs>
          <w:tab w:val="num" w:pos="0"/>
        </w:tabs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Все материалы, применяемые в протезных и ортопедических устройствах, не должны быть токсичными, вызывать раздражение и аллергию у пользователя при применении устройства назначенным способом. (ГОСТ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ИСО 22523-2007, п. 5.2.2).</w:t>
      </w:r>
    </w:p>
    <w:p w:rsidR="00AB2C08" w:rsidRDefault="00AB2C08" w:rsidP="00AB2C08">
      <w:pPr>
        <w:pStyle w:val="formattext"/>
        <w:spacing w:before="0" w:beforeAutospacing="0" w:after="0" w:afterAutospacing="0"/>
        <w:ind w:firstLine="709"/>
        <w:jc w:val="both"/>
      </w:pPr>
      <w:r>
        <w:t xml:space="preserve">В соответствии с ГОСТ </w:t>
      </w:r>
      <w:proofErr w:type="gramStart"/>
      <w:r>
        <w:t>Р</w:t>
      </w:r>
      <w:proofErr w:type="gramEnd"/>
      <w:r>
        <w:t xml:space="preserve"> ИСО 22523-2007 «Протезы конечностей и </w:t>
      </w:r>
      <w:proofErr w:type="spellStart"/>
      <w:r>
        <w:t>ортезы</w:t>
      </w:r>
      <w:proofErr w:type="spellEnd"/>
      <w:r>
        <w:t xml:space="preserve"> наружные. </w:t>
      </w:r>
      <w:proofErr w:type="gramStart"/>
      <w:r>
        <w:t>Требования и методы испытаний» (п.12.2.</w:t>
      </w:r>
      <w:proofErr w:type="gramEnd"/>
      <w:r>
        <w:t xml:space="preserve"> </w:t>
      </w:r>
      <w:proofErr w:type="gramStart"/>
      <w:r>
        <w:t>Воздействие на мягкие ткани человека):</w:t>
      </w:r>
      <w:proofErr w:type="gramEnd"/>
      <w:r>
        <w:t xml:space="preserve"> «Протезные или ортопедические устройства по характеру их функционирования требуют приложения сил к тем участкам тела, к которым они крепятся. Элементы сопряжения устройства следует разрабатывать, избегая неприемлемых давления и уровней нагрузки на ткани человека». </w:t>
      </w:r>
    </w:p>
    <w:p w:rsidR="00AB2C08" w:rsidRDefault="00AB2C08" w:rsidP="00AB2C0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Приемная гильза и крепление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</w:t>
      </w:r>
    </w:p>
    <w:p w:rsidR="00AB2C08" w:rsidRDefault="00AB2C08" w:rsidP="00AB2C08">
      <w:pPr>
        <w:pStyle w:val="formattext"/>
        <w:spacing w:before="0" w:beforeAutospacing="0" w:after="0" w:afterAutospacing="0"/>
        <w:ind w:firstLine="709"/>
        <w:jc w:val="both"/>
      </w:pPr>
      <w:r>
        <w:t>Таким образом, застрахованное лицо не должно испытывать болей, избыточного давления, обуславливающих нарушения кровообращения.</w:t>
      </w:r>
    </w:p>
    <w:p w:rsidR="00AB2C08" w:rsidRDefault="00AB2C08" w:rsidP="00AB2C08">
      <w:pPr>
        <w:spacing w:line="240" w:lineRule="auto"/>
        <w:ind w:firstLine="720"/>
        <w:jc w:val="both"/>
        <w:rPr>
          <w:sz w:val="24"/>
        </w:rPr>
      </w:pPr>
      <w:r>
        <w:rPr>
          <w:sz w:val="24"/>
        </w:rPr>
        <w:t xml:space="preserve">В соответствии с ГОСТ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51632-2014, п. 4.6.17 «Технические средства реабилитации людей с ограничениями жизнедеятельности. Общие требования и методы испытаний» – «TCP, контактирующие с выделениями тканей человека, должны выдерживать неоднократную дезинфекцию простыми доступными дезинфицирующими средствами без повреждения TCP.</w:t>
      </w:r>
    </w:p>
    <w:p w:rsidR="00AB2C08" w:rsidRDefault="00AB2C08" w:rsidP="00AB2C08">
      <w:pPr>
        <w:spacing w:line="240" w:lineRule="auto"/>
        <w:ind w:firstLine="720"/>
        <w:jc w:val="both"/>
        <w:rPr>
          <w:sz w:val="24"/>
        </w:rPr>
      </w:pPr>
      <w:r>
        <w:rPr>
          <w:sz w:val="24"/>
        </w:rPr>
        <w:t xml:space="preserve">Методы дезинфекции, соответствующие дезинфицирующие средства, а также меры предосторожности, необходимые для защиты от коррозии, описаны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ЭД</w:t>
      </w:r>
      <w:proofErr w:type="gramEnd"/>
      <w:r>
        <w:rPr>
          <w:sz w:val="24"/>
        </w:rPr>
        <w:t xml:space="preserve"> изготовителя.»</w:t>
      </w:r>
    </w:p>
    <w:p w:rsidR="00AB2C08" w:rsidRDefault="00AB2C08" w:rsidP="00AB2C08">
      <w:pPr>
        <w:tabs>
          <w:tab w:val="num" w:pos="0"/>
        </w:tabs>
        <w:spacing w:line="240" w:lineRule="auto"/>
        <w:ind w:firstLine="709"/>
        <w:jc w:val="both"/>
        <w:rPr>
          <w:spacing w:val="-6"/>
          <w:sz w:val="24"/>
        </w:rPr>
      </w:pPr>
      <w:r>
        <w:rPr>
          <w:sz w:val="24"/>
        </w:rPr>
        <w:t>Металлические комплектующие протеза должны быть изготовлены из коррозийно-стойких материалов или защищены от коррозии специальными покрытиями.</w:t>
      </w:r>
      <w:r>
        <w:rPr>
          <w:spacing w:val="-6"/>
          <w:sz w:val="24"/>
        </w:rPr>
        <w:t xml:space="preserve"> </w:t>
      </w:r>
    </w:p>
    <w:p w:rsidR="00AB2C08" w:rsidRDefault="00AB2C08" w:rsidP="00AB2C08">
      <w:pPr>
        <w:tabs>
          <w:tab w:val="num" w:pos="0"/>
        </w:tabs>
        <w:spacing w:line="240" w:lineRule="auto"/>
        <w:ind w:firstLine="709"/>
        <w:jc w:val="both"/>
        <w:rPr>
          <w:spacing w:val="-6"/>
          <w:sz w:val="24"/>
        </w:rPr>
      </w:pPr>
      <w:r>
        <w:rPr>
          <w:spacing w:val="-6"/>
          <w:sz w:val="24"/>
        </w:rPr>
        <w:lastRenderedPageBreak/>
        <w:t>Необходимое условие – наличие декларации о соответствии (сертификата соответствия), выданных в порядке, установленном законодательством РФ</w:t>
      </w:r>
      <w:proofErr w:type="gramStart"/>
      <w:r>
        <w:rPr>
          <w:spacing w:val="-6"/>
          <w:sz w:val="24"/>
        </w:rPr>
        <w:t xml:space="preserve"> .</w:t>
      </w:r>
      <w:proofErr w:type="gramEnd"/>
      <w:r>
        <w:rPr>
          <w:rStyle w:val="a5"/>
          <w:spacing w:val="-6"/>
          <w:sz w:val="24"/>
        </w:rPr>
        <w:footnoteReference w:id="1"/>
      </w:r>
    </w:p>
    <w:p w:rsidR="00AB2C08" w:rsidRDefault="00AB2C08" w:rsidP="00AB2C08">
      <w:pPr>
        <w:keepNext/>
        <w:spacing w:line="240" w:lineRule="auto"/>
        <w:jc w:val="center"/>
        <w:rPr>
          <w:sz w:val="24"/>
        </w:rPr>
      </w:pPr>
      <w:r>
        <w:rPr>
          <w:b/>
          <w:sz w:val="24"/>
        </w:rPr>
        <w:t>Требования к упаковке изделия</w:t>
      </w:r>
    </w:p>
    <w:p w:rsidR="00AB2C08" w:rsidRDefault="00AB2C08" w:rsidP="00AB2C08">
      <w:pPr>
        <w:spacing w:line="240" w:lineRule="auto"/>
        <w:ind w:left="-180" w:firstLine="2940"/>
        <w:jc w:val="both"/>
        <w:rPr>
          <w:b/>
          <w:sz w:val="24"/>
        </w:rPr>
      </w:pPr>
    </w:p>
    <w:p w:rsidR="00AB2C08" w:rsidRDefault="00AB2C08" w:rsidP="00AB2C08">
      <w:pPr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>Изделие должно находиться в упаковке, обеспечивающей защиту от воздействия механических и климатических факторов.</w:t>
      </w:r>
    </w:p>
    <w:p w:rsidR="00AB2C08" w:rsidRDefault="00AB2C08" w:rsidP="00AB2C08">
      <w:pPr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Упаковка ТСР должна обеспечивать защиту ТСР от повреждений, порчи (изнашивания) или загрязнения во время хранения и транспортирования к месту использования по назначению (п.4.11.5 ГОСТ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51632-2014 «Технические средства реабилитации людей с ограничениями жизнедеятельности. </w:t>
      </w:r>
      <w:proofErr w:type="gramStart"/>
      <w:r>
        <w:rPr>
          <w:sz w:val="24"/>
        </w:rPr>
        <w:t>Общие технические требования и методы испытаний»).</w:t>
      </w:r>
      <w:proofErr w:type="gramEnd"/>
    </w:p>
    <w:p w:rsidR="00AB2C08" w:rsidRDefault="00AB2C08" w:rsidP="00AB2C08">
      <w:pPr>
        <w:tabs>
          <w:tab w:val="num" w:pos="0"/>
        </w:tabs>
        <w:spacing w:line="240" w:lineRule="auto"/>
        <w:ind w:firstLine="720"/>
        <w:jc w:val="both"/>
        <w:rPr>
          <w:sz w:val="24"/>
        </w:rPr>
      </w:pPr>
    </w:p>
    <w:p w:rsidR="00AB2C08" w:rsidRDefault="00AB2C08" w:rsidP="00AB2C08">
      <w:pPr>
        <w:keepNext/>
        <w:spacing w:line="240" w:lineRule="auto"/>
        <w:ind w:firstLine="709"/>
        <w:jc w:val="center"/>
        <w:rPr>
          <w:b/>
          <w:sz w:val="24"/>
        </w:rPr>
      </w:pPr>
      <w:r>
        <w:rPr>
          <w:b/>
          <w:sz w:val="24"/>
        </w:rPr>
        <w:t>Требования к количественным характеристикам</w:t>
      </w:r>
    </w:p>
    <w:p w:rsidR="00AB2C08" w:rsidRDefault="00AB2C08" w:rsidP="00AB2C08">
      <w:pPr>
        <w:spacing w:line="240" w:lineRule="auto"/>
        <w:ind w:firstLine="708"/>
        <w:jc w:val="both"/>
        <w:rPr>
          <w:sz w:val="24"/>
        </w:rPr>
      </w:pPr>
    </w:p>
    <w:p w:rsidR="00AB2C08" w:rsidRDefault="00AB2C08" w:rsidP="00AB2C08">
      <w:pPr>
        <w:spacing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Протез </w:t>
      </w:r>
      <w:r w:rsidR="00AC4A85">
        <w:rPr>
          <w:sz w:val="24"/>
        </w:rPr>
        <w:t xml:space="preserve">плеча </w:t>
      </w:r>
      <w:r>
        <w:rPr>
          <w:sz w:val="24"/>
        </w:rPr>
        <w:t>с внешним источником энергии комплектуется всеми необходимыми комплектующими на весь срок службы протеза.</w:t>
      </w:r>
    </w:p>
    <w:p w:rsidR="00AB2C08" w:rsidRDefault="00AB2C08" w:rsidP="00AB2C08">
      <w:pPr>
        <w:autoSpaceDE w:val="0"/>
        <w:autoSpaceDN w:val="0"/>
        <w:adjustRightInd w:val="0"/>
        <w:spacing w:line="240" w:lineRule="auto"/>
        <w:jc w:val="center"/>
        <w:rPr>
          <w:b/>
          <w:sz w:val="24"/>
        </w:rPr>
      </w:pPr>
    </w:p>
    <w:p w:rsidR="00AB2C08" w:rsidRDefault="00AB2C08" w:rsidP="00AB2C08">
      <w:pPr>
        <w:autoSpaceDE w:val="0"/>
        <w:autoSpaceDN w:val="0"/>
        <w:adjustRightInd w:val="0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Требования к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 xml:space="preserve">срокам и (или) объему </w:t>
      </w:r>
      <w:proofErr w:type="gramStart"/>
      <w:r>
        <w:rPr>
          <w:b/>
          <w:sz w:val="24"/>
        </w:rPr>
        <w:t>предоставления гарантии качества выполнения работ</w:t>
      </w:r>
      <w:proofErr w:type="gramEnd"/>
    </w:p>
    <w:p w:rsidR="00AB2C08" w:rsidRDefault="00AB2C08" w:rsidP="00AB2C08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</w:rPr>
      </w:pPr>
      <w:proofErr w:type="gramStart"/>
      <w:r>
        <w:rPr>
          <w:sz w:val="24"/>
        </w:rPr>
        <w:t>Гарантийный срок на протез устанавливается со дня выдачи готового изделия Получателю и составляет  36 месяцев  (Участник закупки может указать гарантийный срок, превышающий минимально установленный заказчиком в настоящей документации.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Отсутствие гарантийного срока в заявке участника не является основанием для признания заявки участника не соответствующей требованиям документации заказчика).</w:t>
      </w:r>
      <w:proofErr w:type="gramEnd"/>
    </w:p>
    <w:p w:rsidR="00AB2C08" w:rsidRDefault="00AB2C08" w:rsidP="00AB2C08">
      <w:pPr>
        <w:tabs>
          <w:tab w:val="left" w:pos="0"/>
        </w:tabs>
        <w:spacing w:line="240" w:lineRule="auto"/>
        <w:ind w:firstLine="708"/>
        <w:jc w:val="both"/>
        <w:rPr>
          <w:sz w:val="24"/>
        </w:rPr>
      </w:pPr>
      <w:r>
        <w:rPr>
          <w:sz w:val="24"/>
        </w:rPr>
        <w:t>В течение этого срока предприятие-изготовитель обязано производить замену или ремонт изделия бесплатно.</w:t>
      </w:r>
    </w:p>
    <w:p w:rsidR="00AB2C08" w:rsidRDefault="00AB2C08" w:rsidP="00AB2C08">
      <w:pPr>
        <w:tabs>
          <w:tab w:val="left" w:pos="0"/>
        </w:tabs>
        <w:spacing w:line="240" w:lineRule="auto"/>
        <w:ind w:firstLine="708"/>
        <w:jc w:val="both"/>
        <w:rPr>
          <w:sz w:val="24"/>
        </w:rPr>
      </w:pPr>
    </w:p>
    <w:p w:rsidR="00AB2C08" w:rsidRDefault="00AB2C08" w:rsidP="00AB2C08">
      <w:pPr>
        <w:keepNext/>
        <w:tabs>
          <w:tab w:val="num" w:pos="0"/>
        </w:tabs>
        <w:spacing w:line="240" w:lineRule="auto"/>
        <w:ind w:firstLine="720"/>
        <w:jc w:val="center"/>
        <w:rPr>
          <w:b/>
          <w:sz w:val="24"/>
        </w:rPr>
      </w:pPr>
      <w:r>
        <w:rPr>
          <w:b/>
          <w:sz w:val="24"/>
        </w:rPr>
        <w:t>Обоснование использования показателей, требований, условных обозначений и терминологии</w:t>
      </w:r>
    </w:p>
    <w:p w:rsidR="00AB2C08" w:rsidRDefault="00AB2C08" w:rsidP="00AB2C08">
      <w:pPr>
        <w:keepNext/>
        <w:tabs>
          <w:tab w:val="num" w:pos="0"/>
        </w:tabs>
        <w:spacing w:line="240" w:lineRule="auto"/>
        <w:ind w:firstLine="720"/>
        <w:jc w:val="both"/>
        <w:rPr>
          <w:sz w:val="24"/>
        </w:rPr>
      </w:pPr>
      <w:r>
        <w:rPr>
          <w:sz w:val="24"/>
        </w:rPr>
        <w:t>Используемые показатели, требования и терминология в данной Документации приведена в соответствии с Программой реабилитации пострадавшего на производстве.</w:t>
      </w:r>
    </w:p>
    <w:p w:rsidR="00D66821" w:rsidRDefault="00D66821" w:rsidP="00AB2C08">
      <w:pPr>
        <w:keepNext/>
        <w:tabs>
          <w:tab w:val="num" w:pos="0"/>
        </w:tabs>
        <w:spacing w:line="240" w:lineRule="auto"/>
        <w:ind w:firstLine="720"/>
        <w:jc w:val="both"/>
        <w:rPr>
          <w:sz w:val="24"/>
        </w:rPr>
      </w:pP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799"/>
        <w:gridCol w:w="709"/>
      </w:tblGrid>
      <w:tr w:rsidR="00D66821" w:rsidRPr="00D66821" w:rsidTr="00D66821">
        <w:trPr>
          <w:trHeight w:val="17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21" w:rsidRPr="00D66821" w:rsidRDefault="00D66821">
            <w:pPr>
              <w:tabs>
                <w:tab w:val="num" w:pos="-250"/>
              </w:tabs>
              <w:ind w:right="-988"/>
              <w:rPr>
                <w:bCs/>
                <w:color w:val="000000"/>
                <w:sz w:val="22"/>
                <w:szCs w:val="22"/>
              </w:rPr>
            </w:pPr>
            <w:r w:rsidRPr="00D66821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  <w:p w:rsidR="00D66821" w:rsidRPr="00D66821" w:rsidRDefault="00D66821">
            <w:pPr>
              <w:tabs>
                <w:tab w:val="num" w:pos="-250"/>
              </w:tabs>
              <w:ind w:right="-988"/>
              <w:rPr>
                <w:bCs/>
                <w:color w:val="000000"/>
                <w:sz w:val="22"/>
                <w:szCs w:val="22"/>
              </w:rPr>
            </w:pPr>
            <w:r w:rsidRPr="00D66821">
              <w:rPr>
                <w:bCs/>
                <w:color w:val="000000"/>
                <w:sz w:val="22"/>
                <w:szCs w:val="22"/>
              </w:rPr>
              <w:t>объекта</w:t>
            </w:r>
          </w:p>
          <w:p w:rsidR="00D66821" w:rsidRPr="00D66821" w:rsidRDefault="00D66821">
            <w:pPr>
              <w:tabs>
                <w:tab w:val="num" w:pos="-250"/>
              </w:tabs>
              <w:ind w:left="33" w:right="-988" w:hanging="33"/>
              <w:rPr>
                <w:bCs/>
                <w:color w:val="000000"/>
                <w:sz w:val="22"/>
                <w:szCs w:val="22"/>
              </w:rPr>
            </w:pPr>
            <w:r w:rsidRPr="00D66821">
              <w:rPr>
                <w:bCs/>
                <w:color w:val="000000"/>
                <w:sz w:val="22"/>
                <w:szCs w:val="22"/>
              </w:rPr>
              <w:t xml:space="preserve">закупки </w:t>
            </w:r>
            <w:proofErr w:type="gramStart"/>
            <w:r w:rsidRPr="00D66821">
              <w:rPr>
                <w:bCs/>
                <w:color w:val="000000"/>
                <w:sz w:val="22"/>
                <w:szCs w:val="22"/>
              </w:rPr>
              <w:t>по</w:t>
            </w:r>
            <w:proofErr w:type="gramEnd"/>
            <w:r w:rsidRPr="00D66821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D66821" w:rsidRPr="00D66821" w:rsidRDefault="00D66821">
            <w:pPr>
              <w:tabs>
                <w:tab w:val="num" w:pos="-250"/>
              </w:tabs>
              <w:ind w:left="33" w:right="-988" w:hanging="33"/>
              <w:rPr>
                <w:bCs/>
                <w:color w:val="000000"/>
                <w:sz w:val="22"/>
                <w:szCs w:val="22"/>
              </w:rPr>
            </w:pPr>
            <w:r w:rsidRPr="00D66821">
              <w:rPr>
                <w:bCs/>
                <w:color w:val="000000"/>
                <w:sz w:val="22"/>
                <w:szCs w:val="22"/>
              </w:rPr>
              <w:t xml:space="preserve">классификации </w:t>
            </w:r>
          </w:p>
          <w:p w:rsidR="00D66821" w:rsidRPr="00D66821" w:rsidRDefault="00D66821">
            <w:pPr>
              <w:widowControl w:val="0"/>
              <w:tabs>
                <w:tab w:val="num" w:pos="-250"/>
              </w:tabs>
              <w:spacing w:line="300" w:lineRule="auto"/>
              <w:ind w:left="33" w:right="-988" w:hanging="33"/>
              <w:rPr>
                <w:bCs/>
                <w:color w:val="000000"/>
                <w:sz w:val="22"/>
                <w:szCs w:val="22"/>
              </w:rPr>
            </w:pPr>
            <w:r w:rsidRPr="00D66821">
              <w:rPr>
                <w:bCs/>
                <w:color w:val="000000"/>
                <w:sz w:val="22"/>
                <w:szCs w:val="22"/>
              </w:rPr>
              <w:t>и КОД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21" w:rsidRPr="00D66821" w:rsidRDefault="00D6682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66821">
              <w:rPr>
                <w:bCs/>
                <w:color w:val="000000"/>
                <w:sz w:val="22"/>
                <w:szCs w:val="22"/>
              </w:rPr>
              <w:t>Описание объекта закупки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21" w:rsidRPr="00D66821" w:rsidRDefault="00D6682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Кол-во</w:t>
            </w:r>
          </w:p>
          <w:p w:rsidR="00D66821" w:rsidRPr="00D66821" w:rsidRDefault="00D6682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(шт.)</w:t>
            </w:r>
          </w:p>
        </w:tc>
      </w:tr>
      <w:tr w:rsidR="00D66821" w:rsidRPr="00D66821" w:rsidTr="00D66821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21" w:rsidRPr="00D66821" w:rsidRDefault="00D66821">
            <w:pPr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Протез плеча с внешним источником энергии</w:t>
            </w:r>
          </w:p>
          <w:p w:rsidR="00D66821" w:rsidRPr="00D66821" w:rsidRDefault="00D66821">
            <w:pPr>
              <w:widowControl w:val="0"/>
              <w:spacing w:line="300" w:lineRule="auto"/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t>8-04-03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21" w:rsidRPr="00D66821" w:rsidRDefault="00D66821">
            <w:pPr>
              <w:widowControl w:val="0"/>
              <w:spacing w:line="240" w:lineRule="auto"/>
              <w:jc w:val="both"/>
              <w:rPr>
                <w:sz w:val="22"/>
                <w:szCs w:val="22"/>
              </w:rPr>
            </w:pPr>
            <w:r w:rsidRPr="00D66821">
              <w:rPr>
                <w:rStyle w:val="FontStyle22"/>
              </w:rPr>
              <w:t xml:space="preserve">Приемная гильза изготавливается по индивидуальному гипсовому слепку из слоистого пластика на основе акриловых смол (две пробные гильзы). В качестве вкладного элемента применяется чехол из мягкого термопластичного пластика с высокой степенью поглощения динамических нагрузок. Крепление протеза геометрическое за счет формы культи. Кисть с биоэлектрическим пропорциональным программным управлением, </w:t>
            </w:r>
            <w:proofErr w:type="spellStart"/>
            <w:r w:rsidRPr="00D66821">
              <w:rPr>
                <w:rStyle w:val="FontStyle22"/>
              </w:rPr>
              <w:t>формоприспосабливаемая</w:t>
            </w:r>
            <w:proofErr w:type="spellEnd"/>
            <w:r w:rsidRPr="00D66821">
              <w:rPr>
                <w:rStyle w:val="FontStyle22"/>
              </w:rPr>
              <w:t xml:space="preserve"> с активным </w:t>
            </w:r>
            <w:proofErr w:type="spellStart"/>
            <w:r w:rsidRPr="00D66821">
              <w:rPr>
                <w:rStyle w:val="FontStyle22"/>
              </w:rPr>
              <w:t>схватом</w:t>
            </w:r>
            <w:proofErr w:type="spellEnd"/>
            <w:r w:rsidRPr="00D66821">
              <w:rPr>
                <w:rStyle w:val="FontStyle22"/>
              </w:rPr>
              <w:t xml:space="preserve"> и активным раскрытием, обладает возможностью переключения от мио сигналов на 14 различных видов схватов и положения кисти. Переключение возможно из любого положения в любой другой. Каждый палец кисти оснащен индивидуальным электромеханическим приводом. Пальцы со 2-го по 5-ый с подвижными взаимозависимыми 2-мя суставами. Большой палец кисти с электромеханическим управлением движений: сгибание-разгибание, приведение-отведение. Минимальное время до силового захвата – 0,4 сек. Кисть обладает </w:t>
            </w:r>
            <w:proofErr w:type="spellStart"/>
            <w:r w:rsidRPr="00D66821">
              <w:rPr>
                <w:rStyle w:val="FontStyle22"/>
              </w:rPr>
              <w:t>вибротактильным</w:t>
            </w:r>
            <w:proofErr w:type="spellEnd"/>
            <w:r w:rsidRPr="00D66821">
              <w:rPr>
                <w:rStyle w:val="FontStyle22"/>
              </w:rPr>
              <w:t xml:space="preserve"> осязанием (обратной связью) 3-х уровней усилия. Максимальная нагрузка на палец на уровне </w:t>
            </w:r>
            <w:r w:rsidRPr="00D66821">
              <w:rPr>
                <w:rStyle w:val="FontStyle22"/>
              </w:rPr>
              <w:lastRenderedPageBreak/>
              <w:t xml:space="preserve">средней фаланги – 6 кг. Максимальная нагрузка на кисть 60 кг. При включении системы управления, кисть становится в физиологическое положение. Возможность раскрытия кисти усилием извне при полной разрядке аккумулятора. Адаптер быстросъемный с возможностью 360° бесшумной ротации, усилие для вращения настраивается индивидуально под конкретного пользователя. Локтевой модуль с ручной фиксацией локтя (13 положений с шагом около 8°) и вращающимся плечевым шарниром (серповидный шарнир). Крепление: бандаж </w:t>
            </w:r>
            <w:proofErr w:type="spellStart"/>
            <w:r w:rsidRPr="00D66821">
              <w:rPr>
                <w:rStyle w:val="FontStyle22"/>
              </w:rPr>
              <w:t>трехтяговый</w:t>
            </w:r>
            <w:proofErr w:type="spellEnd"/>
            <w:r w:rsidRPr="00D66821">
              <w:rPr>
                <w:rStyle w:val="FontStyle22"/>
              </w:rPr>
              <w:t xml:space="preserve">. Аккумуляторная батарея, встроенная не менее 1250 </w:t>
            </w:r>
            <w:proofErr w:type="spellStart"/>
            <w:r w:rsidRPr="00D66821">
              <w:rPr>
                <w:rStyle w:val="FontStyle22"/>
              </w:rPr>
              <w:t>мАч</w:t>
            </w:r>
            <w:proofErr w:type="spellEnd"/>
            <w:r w:rsidRPr="00D66821">
              <w:rPr>
                <w:rStyle w:val="FontStyle22"/>
              </w:rPr>
              <w:t>. Зарядное устройство от промышленной сети 220 В. Оболочки кисти трикотажные в комплекте 2 шт.: одна подложка и одна телесного оттенка из 9-ти стандартных оттенков, покрытые с ладонной стороны силиконом. Уровень шума при движении всех пальцев не превышает 50 ДБ. В комплект поставки входят 4 пары хлопчатобумажных перчаток (на срок службы протеза).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21" w:rsidRPr="00D66821" w:rsidRDefault="00D6682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66821">
              <w:rPr>
                <w:sz w:val="22"/>
                <w:szCs w:val="22"/>
              </w:rPr>
              <w:lastRenderedPageBreak/>
              <w:t>1</w:t>
            </w:r>
          </w:p>
        </w:tc>
      </w:tr>
    </w:tbl>
    <w:p w:rsidR="00D66821" w:rsidRPr="00D66821" w:rsidRDefault="00D66821" w:rsidP="00D66821">
      <w:pPr>
        <w:spacing w:line="240" w:lineRule="auto"/>
        <w:ind w:firstLine="720"/>
        <w:jc w:val="both"/>
        <w:rPr>
          <w:sz w:val="22"/>
          <w:szCs w:val="22"/>
        </w:rPr>
      </w:pPr>
    </w:p>
    <w:p w:rsidR="00D66821" w:rsidRDefault="00D66821" w:rsidP="00D66821">
      <w:pPr>
        <w:keepNext/>
        <w:spacing w:line="240" w:lineRule="auto"/>
        <w:rPr>
          <w:sz w:val="22"/>
          <w:szCs w:val="22"/>
          <w:highlight w:val="yellow"/>
        </w:rPr>
      </w:pPr>
    </w:p>
    <w:p w:rsidR="00D66821" w:rsidRDefault="00D66821" w:rsidP="00D66821">
      <w:pPr>
        <w:keepNext/>
        <w:spacing w:line="240" w:lineRule="auto"/>
        <w:jc w:val="center"/>
        <w:rPr>
          <w:highlight w:val="yellow"/>
        </w:rPr>
      </w:pPr>
      <w:bookmarkStart w:id="0" w:name="_GoBack"/>
      <w:bookmarkEnd w:id="0"/>
    </w:p>
    <w:p w:rsidR="00E04D7C" w:rsidRDefault="00E04D7C"/>
    <w:sectPr w:rsidR="00E04D7C" w:rsidSect="00D20C5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08" w:rsidRDefault="00AB2C08" w:rsidP="00AB2C08">
      <w:pPr>
        <w:spacing w:line="240" w:lineRule="auto"/>
      </w:pPr>
      <w:r>
        <w:separator/>
      </w:r>
    </w:p>
  </w:endnote>
  <w:endnote w:type="continuationSeparator" w:id="0">
    <w:p w:rsidR="00AB2C08" w:rsidRDefault="00AB2C08" w:rsidP="00AB2C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lvetsky 12pt">
    <w:altName w:val="Times New Roman"/>
    <w:charset w:val="00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08" w:rsidRDefault="00AB2C08" w:rsidP="00AB2C08">
      <w:pPr>
        <w:spacing w:line="240" w:lineRule="auto"/>
      </w:pPr>
      <w:r>
        <w:separator/>
      </w:r>
    </w:p>
  </w:footnote>
  <w:footnote w:type="continuationSeparator" w:id="0">
    <w:p w:rsidR="00AB2C08" w:rsidRDefault="00AB2C08" w:rsidP="00AB2C08">
      <w:pPr>
        <w:spacing w:line="240" w:lineRule="auto"/>
      </w:pPr>
      <w:r>
        <w:continuationSeparator/>
      </w:r>
    </w:p>
  </w:footnote>
  <w:footnote w:id="1">
    <w:p w:rsidR="00AB2C08" w:rsidRDefault="00AB2C08" w:rsidP="00AB2C08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</w:t>
      </w:r>
      <w:r>
        <w:rPr>
          <w:sz w:val="16"/>
          <w:szCs w:val="16"/>
          <w:lang w:val="ru-RU"/>
        </w:rPr>
        <w:t>Предоставляется в ходе исполнения Контракта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76"/>
    <w:rsid w:val="008C4FBF"/>
    <w:rsid w:val="00996776"/>
    <w:rsid w:val="00AB2C08"/>
    <w:rsid w:val="00AC4A85"/>
    <w:rsid w:val="00B84A9A"/>
    <w:rsid w:val="00D20C57"/>
    <w:rsid w:val="00D66821"/>
    <w:rsid w:val="00E0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08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B2C08"/>
    <w:pPr>
      <w:widowControl w:val="0"/>
      <w:spacing w:line="240" w:lineRule="auto"/>
    </w:pPr>
    <w:rPr>
      <w:rFonts w:ascii="Gelvetsky 12pt" w:hAnsi="Gelvetsky 12pt"/>
      <w:sz w:val="24"/>
      <w:szCs w:val="20"/>
      <w:lang w:val="en-US"/>
    </w:rPr>
  </w:style>
  <w:style w:type="character" w:customStyle="1" w:styleId="a4">
    <w:name w:val="Текст сноски Знак"/>
    <w:basedOn w:val="a0"/>
    <w:link w:val="a3"/>
    <w:semiHidden/>
    <w:rsid w:val="00AB2C08"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paragraph" w:customStyle="1" w:styleId="ConsPlusNormal">
    <w:name w:val="ConsPlusNormal"/>
    <w:rsid w:val="00AB2C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B2C08"/>
    <w:pPr>
      <w:spacing w:before="100" w:beforeAutospacing="1" w:after="100" w:afterAutospacing="1" w:line="240" w:lineRule="auto"/>
    </w:pPr>
    <w:rPr>
      <w:sz w:val="24"/>
    </w:rPr>
  </w:style>
  <w:style w:type="character" w:styleId="a5">
    <w:name w:val="footnote reference"/>
    <w:semiHidden/>
    <w:unhideWhenUsed/>
    <w:rsid w:val="00AB2C08"/>
    <w:rPr>
      <w:rFonts w:ascii="Times New Roman" w:hAnsi="Times New Roman" w:cs="Times New Roman" w:hint="default"/>
      <w:vertAlign w:val="superscript"/>
    </w:rPr>
  </w:style>
  <w:style w:type="character" w:customStyle="1" w:styleId="FontStyle22">
    <w:name w:val="Font Style22"/>
    <w:rsid w:val="00D6682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08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B2C08"/>
    <w:pPr>
      <w:widowControl w:val="0"/>
      <w:spacing w:line="240" w:lineRule="auto"/>
    </w:pPr>
    <w:rPr>
      <w:rFonts w:ascii="Gelvetsky 12pt" w:hAnsi="Gelvetsky 12pt"/>
      <w:sz w:val="24"/>
      <w:szCs w:val="20"/>
      <w:lang w:val="en-US"/>
    </w:rPr>
  </w:style>
  <w:style w:type="character" w:customStyle="1" w:styleId="a4">
    <w:name w:val="Текст сноски Знак"/>
    <w:basedOn w:val="a0"/>
    <w:link w:val="a3"/>
    <w:semiHidden/>
    <w:rsid w:val="00AB2C08"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paragraph" w:customStyle="1" w:styleId="ConsPlusNormal">
    <w:name w:val="ConsPlusNormal"/>
    <w:rsid w:val="00AB2C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B2C08"/>
    <w:pPr>
      <w:spacing w:before="100" w:beforeAutospacing="1" w:after="100" w:afterAutospacing="1" w:line="240" w:lineRule="auto"/>
    </w:pPr>
    <w:rPr>
      <w:sz w:val="24"/>
    </w:rPr>
  </w:style>
  <w:style w:type="character" w:styleId="a5">
    <w:name w:val="footnote reference"/>
    <w:semiHidden/>
    <w:unhideWhenUsed/>
    <w:rsid w:val="00AB2C08"/>
    <w:rPr>
      <w:rFonts w:ascii="Times New Roman" w:hAnsi="Times New Roman" w:cs="Times New Roman" w:hint="default"/>
      <w:vertAlign w:val="superscript"/>
    </w:rPr>
  </w:style>
  <w:style w:type="character" w:customStyle="1" w:styleId="FontStyle22">
    <w:name w:val="Font Style22"/>
    <w:rsid w:val="00D6682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1050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Kochanova_TS</dc:creator>
  <cp:keywords/>
  <dc:description/>
  <cp:lastModifiedBy>Kochanova_TS</cp:lastModifiedBy>
  <cp:revision>9</cp:revision>
  <dcterms:created xsi:type="dcterms:W3CDTF">2020-03-13T06:01:00Z</dcterms:created>
  <dcterms:modified xsi:type="dcterms:W3CDTF">2020-03-13T06:31:00Z</dcterms:modified>
</cp:coreProperties>
</file>