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E7C" w:rsidRPr="002E40F2" w:rsidRDefault="002A0E7C" w:rsidP="002A0E7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E40F2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2A0E7C" w:rsidRPr="002E40F2" w:rsidRDefault="002A0E7C" w:rsidP="002A0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7013"/>
      </w:tblGrid>
      <w:tr w:rsidR="002A0E7C" w:rsidRPr="002E40F2" w:rsidTr="00C94D2D">
        <w:tc>
          <w:tcPr>
            <w:tcW w:w="2972" w:type="dxa"/>
          </w:tcPr>
          <w:p w:rsidR="002A0E7C" w:rsidRPr="00034FC7" w:rsidRDefault="002A0E7C" w:rsidP="004A5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4A5634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r w:rsidRPr="00034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13" w:type="dxa"/>
          </w:tcPr>
          <w:p w:rsidR="002A0E7C" w:rsidRPr="00034FC7" w:rsidRDefault="002A0E7C" w:rsidP="004A56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</w:t>
            </w:r>
            <w:r w:rsidR="004A563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 Работ</w:t>
            </w:r>
          </w:p>
        </w:tc>
      </w:tr>
      <w:tr w:rsidR="00C94D2D" w:rsidRPr="002E40F2" w:rsidTr="00C94D2D">
        <w:tc>
          <w:tcPr>
            <w:tcW w:w="2972" w:type="dxa"/>
          </w:tcPr>
          <w:p w:rsidR="00C94D2D" w:rsidRPr="00C94D2D" w:rsidRDefault="00C94D2D" w:rsidP="00C94D2D">
            <w:pPr>
              <w:pStyle w:val="Standard"/>
              <w:rPr>
                <w:rFonts w:ascii="Times New Roman" w:eastAsia="Times New Roman" w:hAnsi="Times New Roman" w:cs="Times New Roman"/>
                <w:bCs/>
              </w:rPr>
            </w:pPr>
            <w:r w:rsidRPr="00C94D2D">
              <w:rPr>
                <w:rFonts w:ascii="Times New Roman" w:eastAsia="Times New Roman" w:hAnsi="Times New Roman" w:cs="Times New Roman"/>
                <w:bCs/>
              </w:rPr>
              <w:t>Протез голени модульный, в том числе при недоразвитии</w:t>
            </w:r>
          </w:p>
          <w:p w:rsidR="00C94D2D" w:rsidRDefault="00C94D2D" w:rsidP="00C94D2D">
            <w:pPr>
              <w:pStyle w:val="Standard"/>
              <w:jc w:val="both"/>
            </w:pPr>
          </w:p>
          <w:p w:rsidR="00C94D2D" w:rsidRDefault="00C94D2D" w:rsidP="00C94D2D">
            <w:pPr>
              <w:pStyle w:val="Standard"/>
              <w:jc w:val="both"/>
            </w:pPr>
          </w:p>
          <w:p w:rsidR="00C94D2D" w:rsidRDefault="00C94D2D" w:rsidP="00C94D2D">
            <w:pPr>
              <w:pStyle w:val="Standard"/>
              <w:jc w:val="both"/>
            </w:pPr>
          </w:p>
          <w:p w:rsidR="00C94D2D" w:rsidRDefault="00C94D2D" w:rsidP="00C94D2D">
            <w:pPr>
              <w:pStyle w:val="Standard"/>
              <w:jc w:val="both"/>
            </w:pPr>
          </w:p>
          <w:p w:rsidR="00C94D2D" w:rsidRDefault="00C94D2D" w:rsidP="00C94D2D">
            <w:pPr>
              <w:pStyle w:val="Standard"/>
              <w:jc w:val="both"/>
            </w:pPr>
          </w:p>
          <w:p w:rsidR="00C94D2D" w:rsidRDefault="00C94D2D" w:rsidP="00C94D2D">
            <w:pPr>
              <w:pStyle w:val="Standard"/>
              <w:jc w:val="both"/>
            </w:pPr>
          </w:p>
          <w:p w:rsidR="00C94D2D" w:rsidRDefault="00C94D2D" w:rsidP="00C94D2D">
            <w:pPr>
              <w:pStyle w:val="Standard"/>
              <w:jc w:val="both"/>
            </w:pPr>
          </w:p>
          <w:p w:rsidR="00C94D2D" w:rsidRDefault="00C94D2D" w:rsidP="00C94D2D">
            <w:pPr>
              <w:pStyle w:val="Standard"/>
              <w:jc w:val="both"/>
            </w:pPr>
          </w:p>
          <w:p w:rsidR="00C94D2D" w:rsidRDefault="00C94D2D" w:rsidP="00C94D2D">
            <w:pPr>
              <w:pStyle w:val="Standard"/>
              <w:jc w:val="both"/>
            </w:pPr>
          </w:p>
          <w:p w:rsidR="00C94D2D" w:rsidRDefault="00C94D2D" w:rsidP="00C94D2D">
            <w:pPr>
              <w:pStyle w:val="Standard"/>
              <w:jc w:val="both"/>
            </w:pPr>
          </w:p>
          <w:p w:rsidR="00C94D2D" w:rsidRDefault="00C94D2D" w:rsidP="00C94D2D">
            <w:pPr>
              <w:pStyle w:val="Standard"/>
              <w:jc w:val="both"/>
            </w:pPr>
          </w:p>
          <w:p w:rsidR="00C94D2D" w:rsidRDefault="00C94D2D" w:rsidP="00C94D2D">
            <w:pPr>
              <w:pStyle w:val="Standard"/>
              <w:jc w:val="both"/>
            </w:pPr>
          </w:p>
          <w:p w:rsidR="00C94D2D" w:rsidRDefault="00C94D2D" w:rsidP="00C94D2D">
            <w:pPr>
              <w:pStyle w:val="Standard"/>
              <w:jc w:val="both"/>
            </w:pPr>
          </w:p>
        </w:tc>
        <w:tc>
          <w:tcPr>
            <w:tcW w:w="7013" w:type="dxa"/>
          </w:tcPr>
          <w:p w:rsidR="00C94D2D" w:rsidRPr="00C94D2D" w:rsidRDefault="00C94D2D" w:rsidP="00C94D2D">
            <w:pPr>
              <w:pStyle w:val="Standard"/>
              <w:rPr>
                <w:rFonts w:ascii="Times New Roman" w:eastAsia="Times New Roman" w:hAnsi="Times New Roman" w:cs="Times New Roman"/>
                <w:bCs/>
              </w:rPr>
            </w:pPr>
            <w:r w:rsidRPr="00C94D2D">
              <w:rPr>
                <w:rFonts w:ascii="Times New Roman" w:eastAsia="Times New Roman" w:hAnsi="Times New Roman" w:cs="Times New Roman"/>
                <w:bCs/>
              </w:rPr>
              <w:t>Протез голени с силиконовым чехлом, модульный. Формообразующая часть косметической облицовки – модульная мягкая полиуретановая, листовой поролон или силоновые.</w:t>
            </w:r>
          </w:p>
          <w:p w:rsidR="00C94D2D" w:rsidRPr="00C94D2D" w:rsidRDefault="00C94D2D" w:rsidP="00C94D2D">
            <w:pPr>
              <w:pStyle w:val="Standard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94D2D">
              <w:rPr>
                <w:rFonts w:ascii="Times New Roman" w:eastAsia="Times New Roman" w:hAnsi="Times New Roman" w:cs="Times New Roman"/>
                <w:bCs/>
              </w:rPr>
              <w:t xml:space="preserve">Приемная гильза индивидуальная (одна пробная гильза). Материал индивидуальной постоянной гильзы: слоистый пластик на основе акриловых смол, листовой термопластичный пластик. В качестве вкладного элемента применяются силиконовые чехлы оптимизирующие крепление протеза  улучшенным контролем ротации, крепление с использованием вакуумной мембраны, вакуумного клапана и вакуумной системы. Регулировочно-соединительные устройства должны соответствовать весу инвалида. Стопа с высокой степенью энергосбережения обеспечивает высочайший уровень уверенности и безопасности, уменьшает нагрузку на позвоночник, с возможностью выбора косметической оболочки в зависимости от пола инвалида Тип протеза: постоянный. </w:t>
            </w:r>
          </w:p>
        </w:tc>
      </w:tr>
      <w:tr w:rsidR="002A7D07" w:rsidRPr="002E40F2" w:rsidTr="00C94D2D">
        <w:tc>
          <w:tcPr>
            <w:tcW w:w="2972" w:type="dxa"/>
            <w:vAlign w:val="center"/>
          </w:tcPr>
          <w:p w:rsidR="0075560F" w:rsidRPr="0075560F" w:rsidRDefault="0075560F" w:rsidP="0075560F">
            <w:pPr>
              <w:pStyle w:val="Standard"/>
              <w:rPr>
                <w:rFonts w:ascii="Times New Roman" w:eastAsia="Times New Roman" w:hAnsi="Times New Roman" w:cs="Times New Roman"/>
                <w:bCs/>
              </w:rPr>
            </w:pPr>
            <w:r w:rsidRPr="0075560F">
              <w:rPr>
                <w:rFonts w:ascii="Times New Roman" w:eastAsia="Times New Roman" w:hAnsi="Times New Roman" w:cs="Times New Roman"/>
                <w:bCs/>
              </w:rPr>
              <w:t>Протез бедра модульный, в том числе при врожденном недоразвитии</w:t>
            </w:r>
          </w:p>
          <w:p w:rsidR="002A7D07" w:rsidRPr="002A7D07" w:rsidRDefault="002A7D07" w:rsidP="00FC3FC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13" w:type="dxa"/>
          </w:tcPr>
          <w:p w:rsidR="002A7D07" w:rsidRPr="00000181" w:rsidRDefault="00000181" w:rsidP="00000181">
            <w:pPr>
              <w:pStyle w:val="Standard"/>
              <w:rPr>
                <w:rFonts w:ascii="Times New Roman" w:eastAsia="Times New Roman" w:hAnsi="Times New Roman" w:cs="Times New Roman"/>
                <w:bCs/>
              </w:rPr>
            </w:pPr>
            <w:r w:rsidRPr="00000181">
              <w:rPr>
                <w:rFonts w:ascii="Times New Roman" w:eastAsia="Times New Roman" w:hAnsi="Times New Roman" w:cs="Times New Roman"/>
                <w:bCs/>
              </w:rPr>
              <w:t>Протез бедра  модульный с силиконовым чехлом на среднюю и короткую культю, гидравлический к\м.  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перлоновые или силоновые, допускается покрытие защитное плёночное.  Приёмная гильза индивидуальная (одна пробная гильза из термолина), материал индивидуальной постоянной гильзы: литьевой слоистый пластик на основе акриловых смол,  с применением силиконового лайнера на бедро, имеющего высокую эластичность в поперечном направлении, с текстильной матрицей, устраняющей продольное напряжение, крепление при помощи замка для полимерных чехлов.Поворотное регулировочно-соединительное устройство, обеспечивающее возможность поворота согнутой в колене искусственной голени относительно гильзы (для обеспечения самообслуживания пациента). Стопа с повышенным уровнем двигательной активности, из гибкого карбонового волокна, позволяющая выполнить мягкий перекат, устойчивая при ходьбе по неровной поверхности, предназначена как для ежедневного пользования, так и для занятий спортом. Коленный шарнир моноцентрический с поворотной гидравлической системой, механизмом торможения, отключающийся при переходе  на передний отдел стопы, с гидравлическим управлением фазы опоры и переноса,  регулированием фаз сгибания-разгибания или гидравлический многоосный коленный шарнир с независимым бесступенчатым механизмом регулирования фазы сгибания и разгибания; встроенный бесступенчато регулируемый гидравлический модуль гашения ударных нагрузок. Тип протеза:  постоянный.</w:t>
            </w:r>
          </w:p>
        </w:tc>
      </w:tr>
    </w:tbl>
    <w:p w:rsidR="002A0E7C" w:rsidRDefault="002A0E7C">
      <w:pPr>
        <w:pStyle w:val="Standard"/>
        <w:jc w:val="center"/>
        <w:rPr>
          <w:rFonts w:ascii="Times New Roman" w:hAnsi="Times New Roman" w:cs="Times New Roman"/>
        </w:rPr>
      </w:pPr>
    </w:p>
    <w:p w:rsidR="00000181" w:rsidRDefault="00000181" w:rsidP="00034FC7">
      <w:pPr>
        <w:ind w:right="-427"/>
        <w:jc w:val="center"/>
        <w:rPr>
          <w:rFonts w:ascii="Times New Roman" w:hAnsi="Times New Roman" w:cs="Times New Roman"/>
          <w:b/>
          <w:kern w:val="2"/>
        </w:rPr>
      </w:pPr>
    </w:p>
    <w:p w:rsidR="00034FC7" w:rsidRPr="00F455FE" w:rsidRDefault="00034FC7" w:rsidP="00034FC7">
      <w:pPr>
        <w:ind w:right="-427"/>
        <w:jc w:val="center"/>
        <w:rPr>
          <w:rFonts w:ascii="Times New Roman" w:hAnsi="Times New Roman" w:cs="Times New Roman"/>
          <w:b/>
          <w:kern w:val="2"/>
        </w:rPr>
      </w:pPr>
      <w:r w:rsidRPr="00F455FE">
        <w:rPr>
          <w:rFonts w:ascii="Times New Roman" w:hAnsi="Times New Roman" w:cs="Times New Roman"/>
          <w:b/>
          <w:kern w:val="2"/>
        </w:rPr>
        <w:lastRenderedPageBreak/>
        <w:t>Требования к качеству работ:</w:t>
      </w:r>
    </w:p>
    <w:p w:rsidR="00000181" w:rsidRPr="00000181" w:rsidRDefault="00000181" w:rsidP="00595365">
      <w:pPr>
        <w:tabs>
          <w:tab w:val="left" w:pos="709"/>
        </w:tabs>
        <w:autoSpaceDN/>
        <w:ind w:right="-427" w:firstLine="709"/>
        <w:jc w:val="both"/>
        <w:textAlignment w:val="auto"/>
        <w:rPr>
          <w:rFonts w:ascii="Times New Roman" w:hAnsi="Times New Roman" w:cs="Times New Roman"/>
          <w:kern w:val="2"/>
        </w:rPr>
      </w:pPr>
      <w:r w:rsidRPr="00000181">
        <w:rPr>
          <w:rFonts w:ascii="Times New Roman" w:hAnsi="Times New Roman" w:cs="Times New Roman"/>
          <w:kern w:val="2"/>
        </w:rPr>
        <w:t>Изделия должны соответствовать требованиям Национальных стандартов Российской Федерации: ГОСТ Р 51632-2014 «Технические средства реабилитации людей с ограничениями жизнедеятельности.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испытаний», ГОСТ Р ИСО 22523-2007 «Протезы конечностей и ортезы наружные. Требования и методы испытаний»,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цитотоксичность»,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а также соответствовать Республиканскому стандарту РСТ РСФСР 644-80 «Изделия протезно-ортопедические. Общие технические требования».</w:t>
      </w:r>
      <w:r>
        <w:rPr>
          <w:rFonts w:ascii="Times New Roman" w:hAnsi="Times New Roman" w:cs="Times New Roman"/>
          <w:kern w:val="2"/>
        </w:rPr>
        <w:t xml:space="preserve"> </w:t>
      </w:r>
      <w:r w:rsidRPr="00000181">
        <w:rPr>
          <w:rFonts w:ascii="Times New Roman" w:hAnsi="Times New Roman" w:cs="Times New Roman"/>
          <w:kern w:val="2"/>
        </w:rPr>
        <w:t>Работы должны быть выполнены с надлежащим качеством и в установленные сроки.</w:t>
      </w:r>
    </w:p>
    <w:p w:rsidR="00034FC7" w:rsidRPr="00345635" w:rsidRDefault="00034FC7" w:rsidP="00034FC7">
      <w:pPr>
        <w:ind w:right="-427" w:firstLine="709"/>
        <w:jc w:val="both"/>
        <w:rPr>
          <w:rFonts w:ascii="Times New Roman" w:hAnsi="Times New Roman" w:cs="Times New Roman"/>
          <w:kern w:val="2"/>
        </w:rPr>
      </w:pPr>
    </w:p>
    <w:p w:rsidR="00034FC7" w:rsidRPr="00345635" w:rsidRDefault="00034FC7" w:rsidP="00034FC7">
      <w:pPr>
        <w:ind w:right="-427"/>
        <w:jc w:val="center"/>
        <w:rPr>
          <w:rFonts w:ascii="Times New Roman" w:hAnsi="Times New Roman" w:cs="Times New Roman"/>
          <w:b/>
          <w:kern w:val="2"/>
        </w:rPr>
      </w:pPr>
      <w:r w:rsidRPr="00345635">
        <w:rPr>
          <w:rFonts w:ascii="Times New Roman" w:hAnsi="Times New Roman" w:cs="Times New Roman"/>
          <w:b/>
          <w:kern w:val="2"/>
        </w:rPr>
        <w:t>Требования к безопасности работ:</w:t>
      </w:r>
    </w:p>
    <w:p w:rsidR="00034FC7" w:rsidRPr="00345635" w:rsidRDefault="00034FC7" w:rsidP="00345635">
      <w:pPr>
        <w:ind w:right="-427" w:firstLine="709"/>
        <w:contextualSpacing/>
        <w:jc w:val="both"/>
        <w:rPr>
          <w:rFonts w:ascii="Times New Roman" w:hAnsi="Times New Roman" w:cs="Times New Roman"/>
          <w:kern w:val="2"/>
        </w:rPr>
      </w:pPr>
      <w:r w:rsidRPr="00345635">
        <w:rPr>
          <w:rFonts w:ascii="Times New Roman" w:hAnsi="Times New Roman" w:cs="Times New Roman"/>
          <w:kern w:val="2"/>
        </w:rPr>
        <w:t>Проведение работ по обеспечению Получателей Изделиями должно осуществляться при наличии деклараций о соответствии Изделий.</w:t>
      </w:r>
    </w:p>
    <w:p w:rsidR="00034FC7" w:rsidRPr="00345635" w:rsidRDefault="00034FC7" w:rsidP="00345635">
      <w:pPr>
        <w:ind w:right="-427" w:firstLine="709"/>
        <w:contextualSpacing/>
        <w:jc w:val="both"/>
        <w:rPr>
          <w:rFonts w:ascii="Times New Roman" w:hAnsi="Times New Roman" w:cs="Times New Roman"/>
          <w:kern w:val="2"/>
        </w:rPr>
      </w:pPr>
      <w:r w:rsidRPr="00345635">
        <w:rPr>
          <w:rFonts w:ascii="Times New Roman" w:hAnsi="Times New Roman" w:cs="Times New Roman"/>
          <w:kern w:val="2"/>
        </w:rPr>
        <w:t>При готовности приступить к выполнению работ по изготовлению Изделий, предоставление Государственному заказчику копии регистрационных удостоверений и документов, подтверждающих соответствие Изделий (декларация о соответствии продукции либо сертификат соответствия), или иных документов, свидетельствующих о качестве и безопасности Изделий, является условием, в случае если законодательством Российской Федерации предусмотрено наличие таких документов.</w:t>
      </w:r>
    </w:p>
    <w:p w:rsidR="007975E5" w:rsidRDefault="007975E5" w:rsidP="00034FC7">
      <w:pPr>
        <w:ind w:right="-427"/>
        <w:jc w:val="center"/>
        <w:rPr>
          <w:rFonts w:ascii="Times New Roman" w:hAnsi="Times New Roman" w:cs="Times New Roman"/>
          <w:b/>
          <w:kern w:val="2"/>
        </w:rPr>
      </w:pPr>
    </w:p>
    <w:p w:rsidR="00034FC7" w:rsidRPr="00345635" w:rsidRDefault="00034FC7" w:rsidP="00034FC7">
      <w:pPr>
        <w:ind w:right="-427"/>
        <w:jc w:val="center"/>
        <w:rPr>
          <w:rFonts w:ascii="Times New Roman" w:hAnsi="Times New Roman" w:cs="Times New Roman"/>
          <w:b/>
          <w:kern w:val="2"/>
        </w:rPr>
      </w:pPr>
      <w:r w:rsidRPr="00345635">
        <w:rPr>
          <w:rFonts w:ascii="Times New Roman" w:hAnsi="Times New Roman" w:cs="Times New Roman"/>
          <w:b/>
          <w:kern w:val="2"/>
        </w:rPr>
        <w:t xml:space="preserve">Требования к </w:t>
      </w:r>
      <w:r w:rsidR="002A7D07">
        <w:rPr>
          <w:rFonts w:ascii="Times New Roman" w:hAnsi="Times New Roman" w:cs="Times New Roman"/>
          <w:b/>
          <w:kern w:val="2"/>
        </w:rPr>
        <w:t>Изделиям</w:t>
      </w:r>
      <w:r w:rsidRPr="00345635">
        <w:rPr>
          <w:rFonts w:ascii="Times New Roman" w:hAnsi="Times New Roman" w:cs="Times New Roman"/>
          <w:b/>
          <w:kern w:val="2"/>
        </w:rPr>
        <w:t>, являющ</w:t>
      </w:r>
      <w:r w:rsidR="002A7D07">
        <w:rPr>
          <w:rFonts w:ascii="Times New Roman" w:hAnsi="Times New Roman" w:cs="Times New Roman"/>
          <w:b/>
          <w:kern w:val="2"/>
        </w:rPr>
        <w:t>имся</w:t>
      </w:r>
      <w:r w:rsidRPr="00345635">
        <w:rPr>
          <w:rFonts w:ascii="Times New Roman" w:hAnsi="Times New Roman" w:cs="Times New Roman"/>
          <w:b/>
          <w:kern w:val="2"/>
        </w:rPr>
        <w:t xml:space="preserve"> результатом </w:t>
      </w:r>
      <w:r w:rsidR="002A7D07">
        <w:rPr>
          <w:rFonts w:ascii="Times New Roman" w:hAnsi="Times New Roman" w:cs="Times New Roman"/>
          <w:b/>
          <w:kern w:val="2"/>
        </w:rPr>
        <w:t xml:space="preserve">выполнения </w:t>
      </w:r>
      <w:r w:rsidRPr="00345635">
        <w:rPr>
          <w:rFonts w:ascii="Times New Roman" w:hAnsi="Times New Roman" w:cs="Times New Roman"/>
          <w:b/>
          <w:kern w:val="2"/>
        </w:rPr>
        <w:t>работ:</w:t>
      </w:r>
    </w:p>
    <w:p w:rsidR="007975E5" w:rsidRDefault="00034FC7" w:rsidP="007975E5">
      <w:pPr>
        <w:ind w:right="-427" w:firstLine="709"/>
        <w:contextualSpacing/>
        <w:jc w:val="both"/>
        <w:rPr>
          <w:rFonts w:ascii="Times New Roman" w:hAnsi="Times New Roman" w:cs="Times New Roman"/>
          <w:kern w:val="2"/>
        </w:rPr>
      </w:pPr>
      <w:r w:rsidRPr="00345635">
        <w:rPr>
          <w:rFonts w:ascii="Times New Roman" w:hAnsi="Times New Roman" w:cs="Times New Roman"/>
          <w:kern w:val="2"/>
        </w:rPr>
        <w:t>Работы по обеспечению Получателей Изделиями следует считать эффективно исполненным, если у Получателей частично или полностью восстановлена опорная или двигательная функция, сохранены условия для предупреждения развития деформации или благоприятного течения болезни. Работы должны быть выполнены с надлежащим качеством и в установленные сроки.</w:t>
      </w:r>
    </w:p>
    <w:p w:rsidR="007975E5" w:rsidRDefault="007975E5" w:rsidP="007975E5">
      <w:pPr>
        <w:ind w:right="-427" w:firstLine="709"/>
        <w:contextualSpacing/>
        <w:jc w:val="both"/>
        <w:rPr>
          <w:rFonts w:ascii="Times New Roman" w:hAnsi="Times New Roman" w:cs="Times New Roman"/>
          <w:kern w:val="2"/>
        </w:rPr>
      </w:pPr>
    </w:p>
    <w:p w:rsidR="00034FC7" w:rsidRPr="00F455FE" w:rsidRDefault="00034FC7" w:rsidP="007975E5">
      <w:pPr>
        <w:ind w:right="-427"/>
        <w:contextualSpacing/>
        <w:jc w:val="both"/>
        <w:rPr>
          <w:rFonts w:ascii="Times New Roman" w:hAnsi="Times New Roman" w:cs="Times New Roman"/>
          <w:b/>
          <w:kern w:val="2"/>
        </w:rPr>
      </w:pPr>
      <w:r w:rsidRPr="00F455FE">
        <w:rPr>
          <w:rFonts w:ascii="Times New Roman" w:hAnsi="Times New Roman" w:cs="Times New Roman"/>
          <w:b/>
          <w:kern w:val="2"/>
        </w:rPr>
        <w:t>Требования к гарантийному сроку и (или) объему предоставления гарантий качества работ:</w:t>
      </w:r>
    </w:p>
    <w:p w:rsidR="00595365" w:rsidRPr="00595365" w:rsidRDefault="00595365" w:rsidP="00595365">
      <w:pPr>
        <w:pStyle w:val="ab"/>
        <w:numPr>
          <w:ilvl w:val="0"/>
          <w:numId w:val="2"/>
        </w:numPr>
        <w:tabs>
          <w:tab w:val="num" w:pos="708"/>
        </w:tabs>
        <w:autoSpaceDE w:val="0"/>
        <w:ind w:left="6" w:right="-427" w:firstLine="70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59536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Гарантийный срок устанавливается в соответствии с техническими условиями производителя и составляет для протезов нижних конечностей 1 (Один) год после подписания Акта сдачи–приемки работ Получателем. В период гарантийного срока Исполнитель производит ремонт или замену за счет собственных средств.</w:t>
      </w:r>
    </w:p>
    <w:p w:rsidR="00034FC7" w:rsidRPr="00F455FE" w:rsidRDefault="00034FC7" w:rsidP="00595365">
      <w:pPr>
        <w:pStyle w:val="ab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-427"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F4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пользования корсетами устанавливается в соответствии </w:t>
      </w:r>
      <w:r w:rsidRPr="00F455F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Приказом Министерства труда и социальной защиты Российской Федерации от 13.02.2018 N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034FC7" w:rsidRPr="00F455FE" w:rsidRDefault="00034FC7" w:rsidP="00595365">
      <w:pPr>
        <w:ind w:right="-427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455FE">
        <w:rPr>
          <w:rFonts w:ascii="Times New Roman" w:eastAsia="Times New Roman" w:hAnsi="Times New Roman" w:cs="Times New Roman"/>
        </w:rPr>
        <w:t>Срок дополнительной гарантии качества Изделия не должен превышать срока службы Изделия.</w:t>
      </w:r>
    </w:p>
    <w:p w:rsidR="00034FC7" w:rsidRDefault="00034FC7" w:rsidP="00034FC7">
      <w:pPr>
        <w:pStyle w:val="Standard"/>
        <w:keepNext/>
        <w:autoSpaceDE w:val="0"/>
        <w:ind w:right="-427"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F455FE">
        <w:rPr>
          <w:rFonts w:ascii="Times New Roman" w:hAnsi="Times New Roman" w:cs="Times New Roman"/>
          <w:b/>
        </w:rPr>
        <w:t>Место выполнения работ:</w:t>
      </w:r>
      <w:r w:rsidRPr="00F455FE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Российская Федерация, </w:t>
      </w:r>
      <w:r w:rsidR="00595365">
        <w:rPr>
          <w:rFonts w:ascii="Times New Roman" w:eastAsia="Times New Roman" w:hAnsi="Times New Roman" w:cs="Times New Roman"/>
          <w:color w:val="000000"/>
        </w:rPr>
        <w:t>Дальневосточный федеральный округ, по месту нахождения Исполнителя</w:t>
      </w:r>
      <w:r>
        <w:rPr>
          <w:rFonts w:ascii="Times New Roman" w:eastAsia="Times New Roman" w:hAnsi="Times New Roman" w:cs="Times New Roman"/>
          <w:color w:val="000000"/>
        </w:rPr>
        <w:t>, по заказам инвалидов, ветеранов при наличии направлений, выданных Заказчиком.</w:t>
      </w:r>
    </w:p>
    <w:p w:rsidR="007975E5" w:rsidRDefault="007975E5" w:rsidP="00034FC7">
      <w:pPr>
        <w:pStyle w:val="Standard"/>
        <w:ind w:right="-427" w:firstLine="720"/>
        <w:jc w:val="both"/>
        <w:rPr>
          <w:rFonts w:ascii="Times New Roman" w:hAnsi="Times New Roman" w:cs="Times New Roman"/>
          <w:b/>
        </w:rPr>
      </w:pPr>
    </w:p>
    <w:p w:rsidR="00A0425A" w:rsidRPr="007975E5" w:rsidRDefault="00A0425A" w:rsidP="007975E5">
      <w:pPr>
        <w:pStyle w:val="Standard"/>
        <w:ind w:right="-427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Сроки (периоды) выполнения работ</w:t>
      </w:r>
      <w:r>
        <w:rPr>
          <w:rFonts w:ascii="Times New Roman" w:hAnsi="Times New Roman" w:cs="Times New Roman"/>
        </w:rPr>
        <w:t xml:space="preserve">: с даты подписания Контракта </w:t>
      </w:r>
      <w:r w:rsidRPr="00FC3FC4">
        <w:rPr>
          <w:rFonts w:ascii="Times New Roman" w:hAnsi="Times New Roman" w:cs="Times New Roman"/>
        </w:rPr>
        <w:t xml:space="preserve">до </w:t>
      </w:r>
      <w:r w:rsidR="00FC3FC4" w:rsidRPr="00FC3FC4">
        <w:rPr>
          <w:rFonts w:ascii="Times New Roman" w:hAnsi="Times New Roman" w:cs="Times New Roman"/>
        </w:rPr>
        <w:t>01</w:t>
      </w:r>
      <w:r w:rsidRPr="00FC3FC4">
        <w:rPr>
          <w:rFonts w:ascii="Times New Roman" w:hAnsi="Times New Roman" w:cs="Times New Roman"/>
        </w:rPr>
        <w:t>.0</w:t>
      </w:r>
      <w:r w:rsidR="00FC3FC4" w:rsidRPr="00FC3FC4">
        <w:rPr>
          <w:rFonts w:ascii="Times New Roman" w:hAnsi="Times New Roman" w:cs="Times New Roman"/>
        </w:rPr>
        <w:t>8</w:t>
      </w:r>
      <w:r w:rsidRPr="00FC3FC4">
        <w:rPr>
          <w:rFonts w:ascii="Times New Roman" w:hAnsi="Times New Roman" w:cs="Times New Roman"/>
        </w:rPr>
        <w:t>.2020 года – должно быть изготовлено 100%</w:t>
      </w:r>
      <w:r>
        <w:rPr>
          <w:rFonts w:ascii="Times New Roman" w:hAnsi="Times New Roman" w:cs="Times New Roman"/>
        </w:rPr>
        <w:t xml:space="preserve"> изделий. Исполнитель выполняет работы по настоящему Контракту в период не более </w:t>
      </w:r>
      <w:r w:rsidR="0099107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0 </w:t>
      </w:r>
      <w:r w:rsidR="00034FC7">
        <w:rPr>
          <w:rFonts w:ascii="Times New Roman" w:hAnsi="Times New Roman" w:cs="Times New Roman"/>
        </w:rPr>
        <w:t>дней с даты обращения инвалида</w:t>
      </w:r>
      <w:r>
        <w:rPr>
          <w:rFonts w:ascii="Times New Roman" w:hAnsi="Times New Roman" w:cs="Times New Roman"/>
        </w:rPr>
        <w:t xml:space="preserve"> к Исполнителю с направлением, выданным Заказчиком.</w:t>
      </w:r>
    </w:p>
    <w:p w:rsidR="00A0425A" w:rsidRDefault="00A0425A">
      <w:pPr>
        <w:widowControl/>
        <w:shd w:val="clear" w:color="auto" w:fill="FFFFFF"/>
        <w:textAlignment w:val="auto"/>
        <w:rPr>
          <w:rFonts w:ascii="Times New Roman" w:eastAsia="Times New Roman" w:hAnsi="Times New Roman" w:cs="Times New Roman"/>
          <w:color w:val="000000"/>
        </w:rPr>
      </w:pPr>
    </w:p>
    <w:p w:rsidR="00A0425A" w:rsidRDefault="00A0425A">
      <w:pPr>
        <w:widowControl/>
        <w:shd w:val="clear" w:color="auto" w:fill="FFFFFF"/>
        <w:textAlignment w:val="auto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sectPr w:rsidR="00A0425A">
      <w:pgSz w:w="11906" w:h="16838"/>
      <w:pgMar w:top="850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B10" w:rsidRDefault="00006B10">
      <w:r>
        <w:separator/>
      </w:r>
    </w:p>
  </w:endnote>
  <w:endnote w:type="continuationSeparator" w:id="0">
    <w:p w:rsidR="00006B10" w:rsidRDefault="0000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B10" w:rsidRDefault="00006B10">
      <w:r>
        <w:rPr>
          <w:color w:val="000000"/>
        </w:rPr>
        <w:separator/>
      </w:r>
    </w:p>
  </w:footnote>
  <w:footnote w:type="continuationSeparator" w:id="0">
    <w:p w:rsidR="00006B10" w:rsidRDefault="00006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4"/>
    <w:lvl w:ilvl="0">
      <w:start w:val="1"/>
      <w:numFmt w:val="none"/>
      <w:suff w:val="nothing"/>
      <w:lvlText w:val=""/>
      <w:lvlJc w:val="left"/>
      <w:pPr>
        <w:tabs>
          <w:tab w:val="num" w:pos="2124"/>
        </w:tabs>
        <w:ind w:left="2556" w:hanging="432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pacing w:val="-4"/>
        <w:sz w:val="24"/>
        <w:szCs w:val="24"/>
        <w:lang w:val="ru-RU" w:eastAsia="zh-CN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2124"/>
        </w:tabs>
        <w:ind w:left="2700" w:hanging="576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2124"/>
        </w:tabs>
        <w:ind w:left="284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124"/>
        </w:tabs>
        <w:ind w:left="298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124"/>
        </w:tabs>
        <w:ind w:left="3132" w:hanging="1008"/>
      </w:pPr>
      <w:rPr>
        <w:rFonts w:ascii="Times New Roman" w:eastAsia="Times New Roman" w:hAnsi="Times New Roman" w:cs="Times New Roman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2124"/>
        </w:tabs>
        <w:ind w:left="327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24"/>
        </w:tabs>
        <w:ind w:left="3420" w:hanging="1296"/>
      </w:pPr>
      <w:rPr>
        <w:rFonts w:ascii="Times New Roman" w:hAnsi="Times New Roman" w:cs="Times New Roman"/>
        <w:b/>
        <w:i w:val="0"/>
        <w:iCs w:val="0"/>
        <w:color w:val="00000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2124"/>
        </w:tabs>
        <w:ind w:left="356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24"/>
        </w:tabs>
        <w:ind w:left="3708" w:hanging="1584"/>
      </w:pPr>
      <w:rPr>
        <w:rFonts w:ascii="Times New Roman" w:eastAsia="Times New Roman" w:hAnsi="Times New Roman" w:cs="Times New Roman"/>
        <w:b/>
        <w:bCs/>
        <w:i w:val="0"/>
        <w:color w:val="00000A"/>
        <w:sz w:val="20"/>
        <w:szCs w:val="20"/>
      </w:rPr>
    </w:lvl>
  </w:abstractNum>
  <w:abstractNum w:abstractNumId="1">
    <w:nsid w:val="76EC0CFA"/>
    <w:multiLevelType w:val="multilevel"/>
    <w:tmpl w:val="FDEA855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64"/>
    <w:rsid w:val="00000181"/>
    <w:rsid w:val="00006B10"/>
    <w:rsid w:val="00034FC7"/>
    <w:rsid w:val="00040E9B"/>
    <w:rsid w:val="001225E5"/>
    <w:rsid w:val="00145F32"/>
    <w:rsid w:val="001D1F38"/>
    <w:rsid w:val="00297F38"/>
    <w:rsid w:val="002A0E7C"/>
    <w:rsid w:val="002A7D07"/>
    <w:rsid w:val="002D7D7D"/>
    <w:rsid w:val="00315E24"/>
    <w:rsid w:val="00320A07"/>
    <w:rsid w:val="00345635"/>
    <w:rsid w:val="003B048B"/>
    <w:rsid w:val="003C1B01"/>
    <w:rsid w:val="004A5634"/>
    <w:rsid w:val="004E7310"/>
    <w:rsid w:val="00595365"/>
    <w:rsid w:val="006A3FCB"/>
    <w:rsid w:val="006D1079"/>
    <w:rsid w:val="0075560F"/>
    <w:rsid w:val="007975E5"/>
    <w:rsid w:val="0089715A"/>
    <w:rsid w:val="0099107A"/>
    <w:rsid w:val="00A0425A"/>
    <w:rsid w:val="00A118AF"/>
    <w:rsid w:val="00A566E8"/>
    <w:rsid w:val="00A97185"/>
    <w:rsid w:val="00AF17E5"/>
    <w:rsid w:val="00C94D2D"/>
    <w:rsid w:val="00D756A5"/>
    <w:rsid w:val="00E3788B"/>
    <w:rsid w:val="00EC7346"/>
    <w:rsid w:val="00ED7764"/>
    <w:rsid w:val="00FC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CDFEA-7547-498A-85D4-D894F417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paragraph" w:customStyle="1" w:styleId="aa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ConsPlusNormal">
    <w:name w:val="ConsPlusNormal"/>
    <w:rsid w:val="002A0E7C"/>
    <w:pPr>
      <w:suppressAutoHyphens/>
      <w:autoSpaceDE w:val="0"/>
      <w:autoSpaceDN/>
      <w:ind w:firstLine="720"/>
      <w:textAlignment w:val="auto"/>
    </w:pPr>
    <w:rPr>
      <w:rFonts w:eastAsia="Arial" w:cs="Arial"/>
      <w:kern w:val="0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034FC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T2">
    <w:name w:val="T2"/>
    <w:rsid w:val="00034FC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Родион</dc:creator>
  <cp:lastModifiedBy>Анастасия Геннадьевна Жданова</cp:lastModifiedBy>
  <cp:revision>16</cp:revision>
  <cp:lastPrinted>2020-01-29T01:56:00Z</cp:lastPrinted>
  <dcterms:created xsi:type="dcterms:W3CDTF">2020-01-23T08:49:00Z</dcterms:created>
  <dcterms:modified xsi:type="dcterms:W3CDTF">2020-03-03T05:29:00Z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