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61" w:rsidRPr="00844EF8" w:rsidRDefault="00262061" w:rsidP="00262061">
      <w:pPr>
        <w:keepNext/>
        <w:spacing w:after="120"/>
        <w:ind w:firstLine="567"/>
        <w:jc w:val="center"/>
        <w:rPr>
          <w:b/>
        </w:rPr>
      </w:pPr>
      <w:r w:rsidRPr="00844EF8">
        <w:rPr>
          <w:b/>
        </w:rPr>
        <w:t>Требования к техническим, функциональным и качественным характе</w:t>
      </w:r>
      <w:r>
        <w:rPr>
          <w:b/>
        </w:rPr>
        <w:t>ристикам по обеспечению инвалидов изделиями.</w:t>
      </w:r>
    </w:p>
    <w:p w:rsidR="00262061" w:rsidRPr="00844EF8" w:rsidRDefault="00262061" w:rsidP="00262061">
      <w:pPr>
        <w:keepNext/>
        <w:spacing w:after="120"/>
        <w:ind w:firstLine="567"/>
        <w:jc w:val="both"/>
      </w:pPr>
      <w:r w:rsidRPr="00844EF8"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 Классификация и терминология» (06 18 Протезы </w:t>
      </w:r>
      <w:r>
        <w:t>нижних</w:t>
      </w:r>
      <w:r w:rsidRPr="00844EF8">
        <w:t xml:space="preserve"> конечностей, </w:t>
      </w:r>
      <w:bookmarkStart w:id="0" w:name="sub_53303"/>
      <w:r w:rsidRPr="00844EF8">
        <w:t>05 33 03</w:t>
      </w:r>
      <w:bookmarkEnd w:id="0"/>
      <w:r w:rsidRPr="00844EF8">
        <w:t xml:space="preserve"> Вспомогательные средства обучения умению пользоваться </w:t>
      </w:r>
      <w:proofErr w:type="spellStart"/>
      <w:r w:rsidRPr="00844EF8">
        <w:t>ортезом</w:t>
      </w:r>
      <w:proofErr w:type="spellEnd"/>
      <w:r w:rsidRPr="00844EF8">
        <w:t xml:space="preserve"> и протезом).</w:t>
      </w:r>
    </w:p>
    <w:p w:rsidR="00262061" w:rsidRPr="00844EF8" w:rsidRDefault="00262061" w:rsidP="00262061">
      <w:pPr>
        <w:keepNext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Протез</w:t>
      </w:r>
      <w:r>
        <w:rPr>
          <w:b/>
          <w:i/>
        </w:rPr>
        <w:t>ы нижних конечностей должны</w:t>
      </w:r>
      <w:r w:rsidRPr="00844EF8">
        <w:rPr>
          <w:b/>
          <w:i/>
        </w:rPr>
        <w:t xml:space="preserve"> соответствовать требованиям: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исследования», 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844EF8">
        <w:t>цитотоксичность</w:t>
      </w:r>
      <w:proofErr w:type="spellEnd"/>
      <w:r w:rsidRPr="00844EF8">
        <w:t xml:space="preserve">: методы </w:t>
      </w:r>
      <w:proofErr w:type="spellStart"/>
      <w:r w:rsidRPr="00844EF8">
        <w:t>in</w:t>
      </w:r>
      <w:proofErr w:type="spellEnd"/>
      <w:r w:rsidRPr="00844EF8">
        <w:t xml:space="preserve"> </w:t>
      </w:r>
      <w:proofErr w:type="spellStart"/>
      <w:r w:rsidRPr="00844EF8">
        <w:t>vitro</w:t>
      </w:r>
      <w:proofErr w:type="spellEnd"/>
      <w:r w:rsidRPr="00844EF8">
        <w:t>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  <w:rPr>
          <w:bCs/>
        </w:rPr>
      </w:pPr>
      <w:r w:rsidRPr="00844EF8">
        <w:t>Национального стандарта Российской Федерации</w:t>
      </w:r>
      <w:r w:rsidRPr="00844EF8">
        <w:rPr>
          <w:bCs/>
        </w:rPr>
        <w:t xml:space="preserve"> ГОСТ Р 51632-2014 (Раздел 4.5)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22523-2007 «Протезы конечностей и </w:t>
      </w:r>
      <w:proofErr w:type="spellStart"/>
      <w:r w:rsidRPr="00844EF8">
        <w:t>ортезы</w:t>
      </w:r>
      <w:proofErr w:type="spellEnd"/>
      <w:r w:rsidRPr="00844EF8">
        <w:t xml:space="preserve"> наружные. Требования и методы испытаний»;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844EF8">
        <w:rPr>
          <w:bCs/>
        </w:rPr>
        <w:t>ортезам</w:t>
      </w:r>
      <w:proofErr w:type="spellEnd"/>
      <w:r w:rsidRPr="00844EF8">
        <w:rPr>
          <w:bCs/>
        </w:rPr>
        <w:t>».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 </w:t>
      </w:r>
      <w:r>
        <w:rPr>
          <w:bCs/>
        </w:rPr>
        <w:t>нижних</w:t>
      </w:r>
      <w:r w:rsidRPr="00844EF8">
        <w:rPr>
          <w:bCs/>
        </w:rPr>
        <w:t xml:space="preserve"> и нижних конечностей. Термины и определения»;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56138-2014 «Протезы </w:t>
      </w:r>
      <w:r>
        <w:t>нижних</w:t>
      </w:r>
      <w:r w:rsidRPr="00844EF8">
        <w:t xml:space="preserve"> конечностей. Технические требования»;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52114-2009 «Узлы механических протезов </w:t>
      </w:r>
      <w:r>
        <w:t>нижних</w:t>
      </w:r>
      <w:r w:rsidRPr="00844EF8">
        <w:t xml:space="preserve"> конечностей. Технические требования и методы испытаний»;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  <w:rPr>
          <w:bCs/>
        </w:rPr>
      </w:pPr>
    </w:p>
    <w:p w:rsidR="00262061" w:rsidRPr="00844EF8" w:rsidRDefault="00262061" w:rsidP="00262061">
      <w:pPr>
        <w:keepNext/>
        <w:keepLines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Выполнение работ должно осущес</w:t>
      </w:r>
      <w:r>
        <w:rPr>
          <w:b/>
          <w:i/>
        </w:rPr>
        <w:t>твляться при наличии действующих деклараций о соответствии на изделия и соответствовать требованиям:</w:t>
      </w: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lastRenderedPageBreak/>
        <w:t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t>Срок гарантийного ремонта со дня обращения получателя не должен превышать 20 (двадцати) рабочих дней. 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</w:p>
    <w:p w:rsidR="00262061" w:rsidRPr="00420A9C" w:rsidRDefault="00262061" w:rsidP="00262061">
      <w:pPr>
        <w:keepNext/>
        <w:keepLines/>
        <w:ind w:firstLine="567"/>
        <w:contextualSpacing/>
        <w:jc w:val="both"/>
      </w:pPr>
      <w:r w:rsidRPr="00420A9C">
        <w:t>В комплект протеза верхней конечности должны входить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rPr>
          <w:b/>
        </w:rPr>
        <w:t>Гарантийный срок</w:t>
      </w:r>
      <w:r w:rsidRPr="00844EF8">
        <w:t xml:space="preserve"> с момента подписания Акта сдачи – приемки работ:</w:t>
      </w:r>
    </w:p>
    <w:p w:rsidR="00262061" w:rsidRDefault="00262061" w:rsidP="00262061">
      <w:pPr>
        <w:keepNext/>
        <w:keepLines/>
        <w:numPr>
          <w:ilvl w:val="0"/>
          <w:numId w:val="1"/>
        </w:numPr>
        <w:ind w:left="0" w:firstLine="567"/>
        <w:contextualSpacing/>
        <w:jc w:val="both"/>
      </w:pPr>
      <w:r>
        <w:t>Протез кисти косметический – не менее 6 месяцев;</w:t>
      </w:r>
    </w:p>
    <w:p w:rsidR="00262061" w:rsidRDefault="00262061" w:rsidP="00262061">
      <w:pPr>
        <w:keepNext/>
        <w:keepLines/>
        <w:numPr>
          <w:ilvl w:val="0"/>
          <w:numId w:val="1"/>
        </w:numPr>
        <w:ind w:left="0" w:firstLine="567"/>
        <w:contextualSpacing/>
        <w:jc w:val="both"/>
      </w:pPr>
      <w:r>
        <w:t>Протез кисти, предплечья, плеча рабочий – не менее 12 месяцев;</w:t>
      </w:r>
    </w:p>
    <w:p w:rsidR="00262061" w:rsidRDefault="00262061" w:rsidP="00262061">
      <w:pPr>
        <w:keepNext/>
        <w:keepLines/>
        <w:numPr>
          <w:ilvl w:val="0"/>
          <w:numId w:val="1"/>
        </w:numPr>
        <w:ind w:left="0" w:firstLine="567"/>
        <w:contextualSpacing/>
        <w:jc w:val="both"/>
      </w:pPr>
      <w:r>
        <w:t>Протез кисти активный (тяговый), в том числе при вычленении и частичном вычленении кисти – не менее 12 месяцев;</w:t>
      </w:r>
    </w:p>
    <w:p w:rsidR="00262061" w:rsidRDefault="00262061" w:rsidP="00262061">
      <w:pPr>
        <w:keepNext/>
        <w:keepLines/>
        <w:numPr>
          <w:ilvl w:val="0"/>
          <w:numId w:val="1"/>
        </w:numPr>
        <w:ind w:left="0" w:firstLine="567"/>
        <w:contextualSpacing/>
        <w:jc w:val="both"/>
      </w:pPr>
      <w:r>
        <w:t>Протез предплечья, плеча косметический – не менее 12 месяцев;</w:t>
      </w:r>
    </w:p>
    <w:p w:rsidR="00262061" w:rsidRDefault="00262061" w:rsidP="00262061">
      <w:pPr>
        <w:keepNext/>
        <w:keepLines/>
        <w:numPr>
          <w:ilvl w:val="0"/>
          <w:numId w:val="1"/>
        </w:numPr>
        <w:ind w:left="0" w:firstLine="567"/>
        <w:contextualSpacing/>
        <w:jc w:val="both"/>
      </w:pPr>
      <w:r>
        <w:t>Протез предплечья, плеча активный (тяговый) – не менее 12 месяцев;</w:t>
      </w:r>
    </w:p>
    <w:p w:rsidR="00262061" w:rsidRDefault="00262061" w:rsidP="00262061">
      <w:pPr>
        <w:keepNext/>
        <w:keepLines/>
        <w:numPr>
          <w:ilvl w:val="0"/>
          <w:numId w:val="1"/>
        </w:numPr>
        <w:ind w:left="0" w:firstLine="567"/>
        <w:contextualSpacing/>
        <w:jc w:val="both"/>
      </w:pPr>
      <w:r>
        <w:t>Протез после вычленения плеча функционально-косметический – не менее 12 месяцев.</w:t>
      </w:r>
    </w:p>
    <w:p w:rsidR="00262061" w:rsidRDefault="00262061" w:rsidP="00262061">
      <w:pPr>
        <w:keepNext/>
        <w:keepLines/>
        <w:ind w:left="567"/>
        <w:contextualSpacing/>
        <w:jc w:val="both"/>
      </w:pPr>
      <w:r w:rsidRPr="00A95B3C">
        <w:t>ГОСТ</w:t>
      </w:r>
      <w:r>
        <w:t>ами гарантийные сроки на протезы нижних конечностей</w:t>
      </w:r>
      <w:r w:rsidRPr="00A95B3C">
        <w:t xml:space="preserve"> не установлены</w:t>
      </w:r>
      <w:r>
        <w:t>.</w:t>
      </w:r>
    </w:p>
    <w:p w:rsidR="00262061" w:rsidRPr="00A95B3C" w:rsidRDefault="00262061" w:rsidP="00262061">
      <w:pPr>
        <w:keepNext/>
        <w:keepLines/>
        <w:ind w:left="567"/>
        <w:contextualSpacing/>
        <w:jc w:val="both"/>
      </w:pP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  <w:r w:rsidRPr="00844EF8">
        <w:t>В период гарантийного срока ремонт осуществляется бесплатно, гарантия должна распространяться на все составляющие изделия.</w:t>
      </w:r>
    </w:p>
    <w:p w:rsidR="00262061" w:rsidRDefault="00262061" w:rsidP="00262061">
      <w:pPr>
        <w:keepNext/>
        <w:keepLines/>
        <w:ind w:firstLine="567"/>
        <w:contextualSpacing/>
        <w:jc w:val="both"/>
      </w:pPr>
      <w:r w:rsidRPr="00844EF8">
        <w:rPr>
          <w:b/>
        </w:rPr>
        <w:t>Срок службы изделия указать при подаче заявки.</w:t>
      </w:r>
      <w:r w:rsidRPr="00844EF8">
        <w:t xml:space="preserve"> (Срок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13.02.2018 № 85н.).</w:t>
      </w:r>
    </w:p>
    <w:p w:rsidR="00262061" w:rsidRPr="00844EF8" w:rsidRDefault="00262061" w:rsidP="00262061">
      <w:pPr>
        <w:keepNext/>
        <w:keepLines/>
        <w:ind w:firstLine="567"/>
        <w:contextualSpacing/>
        <w:jc w:val="both"/>
      </w:pPr>
    </w:p>
    <w:p w:rsidR="00262061" w:rsidRPr="00015D01" w:rsidRDefault="00262061" w:rsidP="00262061">
      <w:pPr>
        <w:pStyle w:val="a3"/>
        <w:keepNext/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5D01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17"/>
        <w:gridCol w:w="5045"/>
        <w:gridCol w:w="1151"/>
        <w:gridCol w:w="649"/>
      </w:tblGrid>
      <w:tr w:rsidR="00262061" w:rsidRPr="00630F76" w:rsidTr="00364778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1" w:rsidRPr="00DB1F25" w:rsidRDefault="00262061" w:rsidP="00801739">
            <w:pPr>
              <w:keepNext/>
              <w:keepLines/>
              <w:ind w:left="44"/>
              <w:contextualSpacing/>
              <w:jc w:val="center"/>
              <w:rPr>
                <w:sz w:val="20"/>
                <w:szCs w:val="20"/>
              </w:rPr>
            </w:pPr>
            <w:r w:rsidRPr="00DB1F2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1" w:rsidRPr="00DB1F25" w:rsidRDefault="00262061" w:rsidP="00801739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DB1F25">
              <w:rPr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61" w:rsidRPr="00DB1F25" w:rsidRDefault="00262061" w:rsidP="00801739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 w:rsidRPr="00DB1F25">
              <w:rPr>
                <w:bCs/>
                <w:sz w:val="20"/>
                <w:szCs w:val="20"/>
              </w:rPr>
              <w:t>Описание функциональных и технических характеристик изделий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1" w:rsidRPr="00DB1F25" w:rsidRDefault="00262061" w:rsidP="00801739">
            <w:pPr>
              <w:keepNext/>
              <w:keepLines/>
              <w:suppressAutoHyphens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1F25">
              <w:rPr>
                <w:color w:val="000000"/>
                <w:sz w:val="20"/>
                <w:szCs w:val="20"/>
              </w:rPr>
              <w:t>Цена за единицу изделия,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61" w:rsidRPr="00DB1F25" w:rsidRDefault="00262061" w:rsidP="00801739">
            <w:pPr>
              <w:keepNext/>
              <w:keepLines/>
              <w:suppressAutoHyphens/>
              <w:ind w:left="3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1F25">
              <w:rPr>
                <w:color w:val="000000"/>
                <w:sz w:val="20"/>
                <w:szCs w:val="20"/>
              </w:rPr>
              <w:t>Кол-во, шт.</w:t>
            </w:r>
          </w:p>
        </w:tc>
      </w:tr>
      <w:tr w:rsidR="00364778" w:rsidRPr="00630F76" w:rsidTr="00364778">
        <w:trPr>
          <w:trHeight w:val="2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8" w:rsidRPr="00DB1F25" w:rsidRDefault="00364778" w:rsidP="00364778">
            <w:pPr>
              <w:keepNext/>
              <w:keepLines/>
              <w:contextualSpacing/>
              <w:rPr>
                <w:sz w:val="20"/>
                <w:szCs w:val="20"/>
              </w:rPr>
            </w:pPr>
            <w:bookmarkStart w:id="1" w:name="_GoBack" w:colFirst="3" w:colLast="3"/>
            <w:r w:rsidRPr="00DB1F25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shd w:val="clear" w:color="auto" w:fill="auto"/>
          </w:tcPr>
          <w:p w:rsidR="00364778" w:rsidRPr="00D85C30" w:rsidRDefault="00364778" w:rsidP="00364778">
            <w:pPr>
              <w:suppressAutoHyphens/>
              <w:rPr>
                <w:lang w:eastAsia="ar-SA"/>
              </w:rPr>
            </w:pPr>
            <w:r>
              <w:t>Протез бедра</w:t>
            </w:r>
          </w:p>
        </w:tc>
        <w:tc>
          <w:tcPr>
            <w:tcW w:w="2840" w:type="pct"/>
          </w:tcPr>
          <w:p w:rsidR="00364778" w:rsidRPr="00D85C30" w:rsidRDefault="00364778" w:rsidP="00364778">
            <w:pPr>
              <w:suppressAutoHyphens/>
              <w:jc w:val="both"/>
              <w:rPr>
                <w:lang w:eastAsia="ar-SA"/>
              </w:rPr>
            </w:pPr>
            <w:r>
              <w:t xml:space="preserve">Протез бедра модульного типа с косметической облицовкой, полиуретановая (поролон), Косметическая оболочка, чулки </w:t>
            </w:r>
            <w:proofErr w:type="spellStart"/>
            <w:r>
              <w:t>перлоновые</w:t>
            </w:r>
            <w:proofErr w:type="spellEnd"/>
            <w:r>
              <w:t>, ортопедические; приемная гильза индивидуальная, (изготовленная по индивидуальному слепку с культи инвалида), количество приемных гильз 3шт;одна приемная гильза литьевая, слоистая, из акриловых смол и 2 пробные гильзы, листовой термопластичный пластик, с  вкладной гильзы, без гелиевого чехла; гильзовый регулировочно-соединительные устройства на нагрузку соответствующие весу пациента, до 125кг;стопа 1</w:t>
            </w:r>
            <w:r>
              <w:rPr>
                <w:lang w:val="en-US"/>
              </w:rPr>
              <w:t>S</w:t>
            </w:r>
            <w:r w:rsidRPr="003C1BDF">
              <w:t>90</w:t>
            </w:r>
            <w:r>
              <w:t>; коленным модулем 3R</w:t>
            </w:r>
            <w:r w:rsidRPr="0084536B">
              <w:t>60</w:t>
            </w:r>
            <w:r>
              <w:t>;поворотное устройство 4</w:t>
            </w:r>
            <w:r>
              <w:rPr>
                <w:lang w:val="en-US"/>
              </w:rPr>
              <w:t>R</w:t>
            </w:r>
            <w:r>
              <w:t xml:space="preserve">57; тип протеза по назначению: постоянный. </w:t>
            </w:r>
            <w:r>
              <w:rPr>
                <w:rFonts w:eastAsia="Lucida Sans Unicode"/>
                <w:kern w:val="2"/>
                <w:sz w:val="18"/>
                <w:szCs w:val="18"/>
              </w:rPr>
              <w:t xml:space="preserve">Соответствие </w:t>
            </w:r>
            <w:r>
              <w:rPr>
                <w:rFonts w:eastAsia="Lucida Sans Unicode"/>
                <w:kern w:val="2"/>
                <w:sz w:val="20"/>
                <w:szCs w:val="20"/>
              </w:rPr>
              <w:t xml:space="preserve">ГОСТ ISO 10993-1-2011, ГОСТ ISO 10993-5-2011, ГОСТ ISO 10993-10-2011, </w:t>
            </w:r>
            <w:hyperlink r:id="rId5" w:history="1">
              <w:r>
                <w:rPr>
                  <w:rStyle w:val="a4"/>
                  <w:bCs/>
                  <w:color w:val="000000"/>
                  <w:sz w:val="20"/>
                  <w:szCs w:val="20"/>
                </w:rPr>
                <w:t>ГОСТ</w:t>
              </w:r>
              <w:r>
                <w:rPr>
                  <w:rStyle w:val="a4"/>
                  <w:color w:val="000000"/>
                  <w:sz w:val="20"/>
                  <w:szCs w:val="20"/>
                </w:rPr>
                <w:t> </w:t>
              </w:r>
              <w:r>
                <w:rPr>
                  <w:rStyle w:val="a4"/>
                  <w:bCs/>
                  <w:color w:val="000000"/>
                  <w:sz w:val="20"/>
                  <w:szCs w:val="20"/>
                </w:rPr>
                <w:t>Р</w:t>
              </w:r>
              <w:r>
                <w:rPr>
                  <w:rStyle w:val="a4"/>
                  <w:color w:val="000000"/>
                  <w:sz w:val="20"/>
                  <w:szCs w:val="20"/>
                </w:rPr>
                <w:t> 52770-2016</w:t>
              </w:r>
            </w:hyperlink>
            <w:r>
              <w:rPr>
                <w:rFonts w:eastAsia="Lucida Sans Unicode"/>
                <w:color w:val="000000"/>
                <w:kern w:val="2"/>
                <w:sz w:val="20"/>
                <w:szCs w:val="20"/>
              </w:rPr>
              <w:t xml:space="preserve">, </w:t>
            </w:r>
            <w:hyperlink r:id="rId6" w:history="1">
              <w:r>
                <w:rPr>
                  <w:rStyle w:val="a4"/>
                  <w:bCs/>
                  <w:color w:val="000000"/>
                  <w:sz w:val="20"/>
                  <w:szCs w:val="20"/>
                </w:rPr>
                <w:t>ГОСТ</w:t>
              </w:r>
              <w:r>
                <w:rPr>
                  <w:rStyle w:val="a4"/>
                  <w:color w:val="000000"/>
                  <w:sz w:val="20"/>
                  <w:szCs w:val="20"/>
                </w:rPr>
                <w:t> </w:t>
              </w:r>
              <w:r>
                <w:rPr>
                  <w:rStyle w:val="a4"/>
                  <w:bCs/>
                  <w:color w:val="000000"/>
                  <w:sz w:val="20"/>
                  <w:szCs w:val="20"/>
                </w:rPr>
                <w:t>Р</w:t>
              </w:r>
              <w:r>
                <w:rPr>
                  <w:rStyle w:val="a4"/>
                  <w:color w:val="000000"/>
                  <w:sz w:val="20"/>
                  <w:szCs w:val="20"/>
                </w:rPr>
                <w:t> </w:t>
              </w:r>
              <w:r>
                <w:rPr>
                  <w:rStyle w:val="a4"/>
                  <w:bCs/>
                  <w:color w:val="000000"/>
                  <w:sz w:val="20"/>
                  <w:szCs w:val="20"/>
                </w:rPr>
                <w:t>51632-2014</w:t>
              </w:r>
            </w:hyperlink>
            <w:r>
              <w:rPr>
                <w:rFonts w:eastAsia="Lucida Sans Unicode"/>
                <w:color w:val="000000"/>
                <w:kern w:val="2"/>
                <w:sz w:val="20"/>
                <w:szCs w:val="20"/>
              </w:rPr>
              <w:t>, ГОСТ Р ИСО 22523-2007.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4778" w:rsidRPr="006F2800" w:rsidRDefault="00364778" w:rsidP="003647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899909,63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8" w:rsidRPr="00DB1F25" w:rsidRDefault="00364778" w:rsidP="0036477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1"/>
      <w:tr w:rsidR="00364778" w:rsidRPr="00630F76" w:rsidTr="00364778">
        <w:trPr>
          <w:trHeight w:val="2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8" w:rsidRPr="00DB1F25" w:rsidRDefault="00364778" w:rsidP="00364778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364778" w:rsidRPr="00D85C30" w:rsidRDefault="00364778" w:rsidP="00364778">
            <w:pPr>
              <w:suppressAutoHyphens/>
              <w:rPr>
                <w:lang w:eastAsia="ar-SA"/>
              </w:rPr>
            </w:pPr>
            <w:r w:rsidRPr="002E3120">
              <w:t>Протез</w:t>
            </w:r>
            <w:r>
              <w:t>ы</w:t>
            </w:r>
            <w:r w:rsidRPr="002E3120">
              <w:t xml:space="preserve"> бедра лечебно-тренировочны</w:t>
            </w:r>
            <w:r>
              <w:t>е</w:t>
            </w:r>
          </w:p>
        </w:tc>
        <w:tc>
          <w:tcPr>
            <w:tcW w:w="2840" w:type="pct"/>
          </w:tcPr>
          <w:p w:rsidR="00364778" w:rsidRPr="00D85C30" w:rsidRDefault="00364778" w:rsidP="00364778">
            <w:pPr>
              <w:suppressAutoHyphens/>
              <w:jc w:val="both"/>
              <w:rPr>
                <w:lang w:eastAsia="ar-SA"/>
              </w:rPr>
            </w:pPr>
            <w:r w:rsidRPr="006D4A94">
              <w:rPr>
                <w:color w:val="000000"/>
              </w:rPr>
              <w:t xml:space="preserve">Протез бедра лечебно-тренировочный; облицовка мягкая полиуретановая (листовой поролон), покрытие облицовки чулки </w:t>
            </w:r>
            <w:proofErr w:type="spellStart"/>
            <w:r w:rsidRPr="006D4A94">
              <w:rPr>
                <w:color w:val="000000"/>
              </w:rPr>
              <w:t>силоновые</w:t>
            </w:r>
            <w:proofErr w:type="spellEnd"/>
            <w:r w:rsidRPr="006D4A94">
              <w:rPr>
                <w:color w:val="000000"/>
              </w:rPr>
              <w:t xml:space="preserve"> ортопедические; приемная гильза по индивидуальному слепку с культи инвалида; кол-во приемных (пробных) гильз: 2; постоянная гильза из литьевого слоистого пластика на основе акриловых смол; 1 пробная гильза, листовой термопластичный пластик, без вкладной гильзы, без чехла полимерного гелиевого; крепление  вакуумное; регулировочно-соединительные устройства на нагрузку  до 100 кг; стопа ППУ; Коленный шарнир с четырехзвенным коленным модулем, постоянный.  Тип протеза по назначении: постоянный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4778" w:rsidRDefault="00364778" w:rsidP="0036477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96466,67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8" w:rsidRPr="00DB1F25" w:rsidRDefault="00364778" w:rsidP="0036477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4778" w:rsidRPr="00630F76" w:rsidTr="00364778">
        <w:trPr>
          <w:trHeight w:val="27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8" w:rsidRPr="00DB1F25" w:rsidRDefault="00364778" w:rsidP="00364778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88" w:type="pct"/>
            <w:shd w:val="clear" w:color="auto" w:fill="auto"/>
          </w:tcPr>
          <w:p w:rsidR="00364778" w:rsidRPr="002E3120" w:rsidRDefault="00364778" w:rsidP="00364778">
            <w:pPr>
              <w:suppressAutoHyphens/>
            </w:pPr>
            <w:r>
              <w:t>Протез голени лечебно-тренировочный</w:t>
            </w:r>
          </w:p>
        </w:tc>
        <w:tc>
          <w:tcPr>
            <w:tcW w:w="2840" w:type="pct"/>
          </w:tcPr>
          <w:p w:rsidR="00364778" w:rsidRPr="006D4A94" w:rsidRDefault="00364778" w:rsidP="00364778">
            <w:pPr>
              <w:suppressAutoHyphens/>
              <w:jc w:val="both"/>
              <w:rPr>
                <w:color w:val="000000"/>
              </w:rPr>
            </w:pPr>
            <w:r>
              <w:t xml:space="preserve">Протез голени лечебно-тренировочный, тип косметической облицовки мягкая, полиуретановая (поролон), Косметическая оболочка, чулки </w:t>
            </w:r>
            <w:proofErr w:type="spellStart"/>
            <w:r>
              <w:t>перлоновые</w:t>
            </w:r>
            <w:proofErr w:type="spellEnd"/>
            <w: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2шт; одна приемная гильза постоянная литьевая, слоистая, из акриловых смол с мягким вкладышем внутри гильзы из </w:t>
            </w:r>
            <w:proofErr w:type="spellStart"/>
            <w:r>
              <w:t>педилина</w:t>
            </w:r>
            <w:proofErr w:type="spellEnd"/>
            <w:r>
              <w:t>, одна пробная гильза, листовой термопластичный пластик, без вкладной гильзы, без чехла полимерного гелиевого; крепления протеза голени на инвалиде с использованием кожаных полуфабрикатов (без шин); регулировочно-соединительные устройства на нагрузку до 100 кг; стопа с ППУ, поворотное устройство отсутствует; тип протеза по назначению: постоянный</w:t>
            </w:r>
            <w:r>
              <w:rPr>
                <w:color w:val="000000"/>
              </w:rPr>
              <w:t>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64778" w:rsidRDefault="00364778" w:rsidP="0036477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119333,33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78" w:rsidRPr="00DB1F25" w:rsidRDefault="00364778" w:rsidP="00364778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07F5D" w:rsidRDefault="00807F5D"/>
    <w:sectPr w:rsidR="0080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B"/>
    <w:rsid w:val="00262061"/>
    <w:rsid w:val="002D3C5B"/>
    <w:rsid w:val="00364778"/>
    <w:rsid w:val="008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78A2-B918-4DDD-8E81-19B001D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6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364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gs.ru/gosts/gost/58094/" TargetMode="External"/><Relationship Id="rId5" Type="http://schemas.openxmlformats.org/officeDocument/2006/relationships/hyperlink" Target="http://www.rags.ru/gosts/gost/630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2020-02-18T11:17:00Z</dcterms:created>
  <dcterms:modified xsi:type="dcterms:W3CDTF">2020-02-28T08:27:00Z</dcterms:modified>
</cp:coreProperties>
</file>