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3" w:rsidRPr="002F129E" w:rsidRDefault="003B4AC3" w:rsidP="003029AB">
      <w:pPr>
        <w:keepNext/>
        <w:keepLines/>
        <w:suppressAutoHyphens/>
        <w:ind w:left="-567"/>
        <w:jc w:val="center"/>
        <w:rPr>
          <w:b/>
        </w:rPr>
      </w:pPr>
      <w:r w:rsidRPr="002F129E">
        <w:rPr>
          <w:b/>
        </w:rPr>
        <w:t>Описание объекта закупки</w:t>
      </w:r>
    </w:p>
    <w:p w:rsidR="003B4AC3" w:rsidRPr="002F129E" w:rsidRDefault="002F129E" w:rsidP="003029AB">
      <w:pPr>
        <w:keepNext/>
        <w:keepLines/>
        <w:suppressAutoHyphens/>
        <w:ind w:left="-567"/>
        <w:jc w:val="center"/>
        <w:rPr>
          <w:b/>
          <w:bCs/>
          <w:lang w:eastAsia="ar-SA"/>
        </w:rPr>
      </w:pPr>
      <w:r w:rsidRPr="002F129E">
        <w:rPr>
          <w:b/>
        </w:rPr>
        <w:t>Выполнение работ по обеспечению инвалидов Ростовской области протезами</w:t>
      </w:r>
      <w:r w:rsidR="00BA3954">
        <w:rPr>
          <w:b/>
        </w:rPr>
        <w:t>.</w:t>
      </w:r>
    </w:p>
    <w:p w:rsidR="000D2A53" w:rsidRPr="00081FED" w:rsidRDefault="000D2A53" w:rsidP="000D2A53">
      <w:pPr>
        <w:ind w:left="-142"/>
        <w:jc w:val="center"/>
        <w:rPr>
          <w:b/>
        </w:rPr>
      </w:pPr>
      <w:r w:rsidRPr="00081FED">
        <w:rPr>
          <w:b/>
        </w:rPr>
        <w:t>Требования к качеству, техническим, функциональным характеристикам протезов верхних конечностей</w:t>
      </w:r>
    </w:p>
    <w:p w:rsidR="000D2A53" w:rsidRPr="00081FED" w:rsidRDefault="000D2A53" w:rsidP="000D2A53">
      <w:pPr>
        <w:ind w:left="-142"/>
        <w:jc w:val="center"/>
        <w:rPr>
          <w:b/>
        </w:rPr>
      </w:pPr>
      <w:r w:rsidRPr="00081FED">
        <w:rPr>
          <w:b/>
        </w:rPr>
        <w:t>Требования к качеству работ</w:t>
      </w:r>
    </w:p>
    <w:p w:rsidR="000D2A53" w:rsidRPr="00081FED" w:rsidRDefault="000D2A53" w:rsidP="000D2A53">
      <w:pPr>
        <w:ind w:left="-142" w:firstLine="708"/>
        <w:jc w:val="both"/>
      </w:pPr>
      <w:r w:rsidRPr="00081FED">
        <w:t xml:space="preserve">Протезы верхних конечностей должны соответствовать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081FED">
        <w:t>цитотоксичность</w:t>
      </w:r>
      <w:proofErr w:type="spellEnd"/>
      <w:r w:rsidRPr="00081FED">
        <w:t xml:space="preserve">: методы </w:t>
      </w:r>
      <w:proofErr w:type="spellStart"/>
      <w:r w:rsidRPr="00081FED">
        <w:t>in</w:t>
      </w:r>
      <w:proofErr w:type="spellEnd"/>
      <w:r w:rsidRPr="00081FED">
        <w:t xml:space="preserve"> </w:t>
      </w:r>
      <w:proofErr w:type="spellStart"/>
      <w:r w:rsidRPr="00081FED">
        <w:t>vitro</w:t>
      </w:r>
      <w:proofErr w:type="spellEnd"/>
      <w:r w:rsidRPr="00081FED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081FED">
        <w:t>Р</w:t>
      </w:r>
      <w:proofErr w:type="gramEnd"/>
      <w:r w:rsidRPr="00081FED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081FED">
        <w:t>Р</w:t>
      </w:r>
      <w:proofErr w:type="gramEnd"/>
      <w:r w:rsidRPr="00081FED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081FED">
        <w:t>Р</w:t>
      </w:r>
      <w:proofErr w:type="gramEnd"/>
      <w:r w:rsidRPr="00081FED">
        <w:t xml:space="preserve"> ИСО 22523-2007 «Протезы конечностей и </w:t>
      </w:r>
      <w:proofErr w:type="spellStart"/>
      <w:r w:rsidRPr="00081FED">
        <w:t>ортезы</w:t>
      </w:r>
      <w:proofErr w:type="spellEnd"/>
      <w:r w:rsidRPr="00081FED">
        <w:t xml:space="preserve"> наружные. Требования и методы испытаний».</w:t>
      </w:r>
    </w:p>
    <w:p w:rsidR="000D2A53" w:rsidRPr="00081FED" w:rsidRDefault="000D2A53" w:rsidP="000D2A53">
      <w:pPr>
        <w:ind w:left="-142"/>
        <w:jc w:val="center"/>
        <w:rPr>
          <w:b/>
        </w:rPr>
      </w:pPr>
      <w:r w:rsidRPr="00081FED">
        <w:rPr>
          <w:b/>
        </w:rPr>
        <w:t>Требования к техническим и функциональным характеристикам работ</w:t>
      </w:r>
    </w:p>
    <w:p w:rsidR="000D2A53" w:rsidRPr="00081FED" w:rsidRDefault="000D2A53" w:rsidP="000D2A53">
      <w:pPr>
        <w:ind w:left="-142" w:firstLine="708"/>
        <w:jc w:val="both"/>
      </w:pPr>
      <w:r w:rsidRPr="00081FED">
        <w:t xml:space="preserve">Выполняемые работы по обеспечению инвалидов протезами  конечностей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</w:t>
      </w:r>
    </w:p>
    <w:p w:rsidR="000D2A53" w:rsidRPr="00081FED" w:rsidRDefault="000D2A53" w:rsidP="000D2A53">
      <w:pPr>
        <w:ind w:left="-142"/>
        <w:jc w:val="center"/>
        <w:rPr>
          <w:b/>
        </w:rPr>
      </w:pPr>
      <w:r w:rsidRPr="00081FED">
        <w:rPr>
          <w:b/>
        </w:rPr>
        <w:t>Требования к безопасности работ</w:t>
      </w:r>
    </w:p>
    <w:p w:rsidR="000D2A53" w:rsidRPr="00081FED" w:rsidRDefault="000D2A53" w:rsidP="000D2A53">
      <w:pPr>
        <w:ind w:left="-142" w:firstLine="708"/>
        <w:jc w:val="both"/>
      </w:pPr>
      <w:r w:rsidRPr="00081FED">
        <w:t>Проведение работ по обеспечению инвалида протезом верхней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0D2A53" w:rsidRPr="00081FED" w:rsidRDefault="000D2A53" w:rsidP="000D2A53">
      <w:pPr>
        <w:ind w:left="-142"/>
        <w:jc w:val="center"/>
        <w:rPr>
          <w:b/>
        </w:rPr>
      </w:pPr>
      <w:r w:rsidRPr="00081FED">
        <w:rPr>
          <w:b/>
        </w:rPr>
        <w:t>Требования к результатам работ</w:t>
      </w:r>
    </w:p>
    <w:p w:rsidR="000D2A53" w:rsidRPr="00081FED" w:rsidRDefault="000D2A53" w:rsidP="000D2A53">
      <w:pPr>
        <w:ind w:left="-142" w:firstLine="708"/>
        <w:jc w:val="both"/>
      </w:pPr>
      <w:r w:rsidRPr="00081FED"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081FED" w:rsidRPr="00081FED" w:rsidRDefault="00081FED" w:rsidP="00AF63FD">
      <w:pPr>
        <w:jc w:val="both"/>
      </w:pPr>
    </w:p>
    <w:p w:rsidR="000D2A53" w:rsidRPr="00081FED" w:rsidRDefault="000D2A53" w:rsidP="000D2A53">
      <w:pPr>
        <w:ind w:left="-142"/>
        <w:jc w:val="center"/>
        <w:rPr>
          <w:b/>
        </w:rPr>
      </w:pPr>
      <w:r w:rsidRPr="00081FED">
        <w:rPr>
          <w:b/>
        </w:rPr>
        <w:t>Место, условия и сроки (периоды) выполнения работ</w:t>
      </w:r>
    </w:p>
    <w:p w:rsidR="00081FED" w:rsidRPr="003029AB" w:rsidRDefault="00081FED" w:rsidP="00081FED">
      <w:pPr>
        <w:keepNext/>
        <w:keepLines/>
        <w:suppressAutoHyphens/>
        <w:ind w:left="-142" w:firstLine="709"/>
        <w:jc w:val="both"/>
      </w:pPr>
      <w:r w:rsidRPr="003029AB">
        <w:t xml:space="preserve">Гарантийный срок должен устанавливаться со дня выдачи готового изделия. </w:t>
      </w:r>
    </w:p>
    <w:p w:rsidR="00081FED" w:rsidRPr="003029AB" w:rsidRDefault="00081FED" w:rsidP="00081FED">
      <w:pPr>
        <w:keepNext/>
        <w:keepLines/>
        <w:suppressAutoHyphens/>
        <w:ind w:left="-142" w:firstLine="709"/>
        <w:jc w:val="both"/>
      </w:pPr>
      <w:r w:rsidRPr="003029AB">
        <w:t xml:space="preserve">Срок дополнительной гарантии качества товара, работ, услуг не должен превышать срока службы товара. </w:t>
      </w:r>
    </w:p>
    <w:p w:rsidR="00081FED" w:rsidRPr="00907BF9" w:rsidRDefault="00081FED" w:rsidP="00081FED">
      <w:pPr>
        <w:ind w:left="-142" w:firstLine="708"/>
        <w:jc w:val="both"/>
        <w:rPr>
          <w:b/>
          <w:bCs/>
          <w:iCs/>
          <w:color w:val="FF0000"/>
        </w:rPr>
      </w:pPr>
      <w:r w:rsidRPr="003029AB">
        <w:t xml:space="preserve">Место выполнения работ: Российская Федерация, </w:t>
      </w:r>
      <w:r w:rsidR="00907BF9">
        <w:t xml:space="preserve">по месту нахождения Исполнителя, </w:t>
      </w:r>
      <w:r w:rsidRPr="003029AB">
        <w:t xml:space="preserve"> в срок не более </w:t>
      </w:r>
      <w:r w:rsidRPr="00907BF9">
        <w:rPr>
          <w:b/>
        </w:rPr>
        <w:t>60 календарных дней</w:t>
      </w:r>
      <w:r w:rsidRPr="003029AB">
        <w:t xml:space="preserve"> с момента получения Направлений, выданных филиалом Заказчика, но не позднее </w:t>
      </w:r>
      <w:r w:rsidRPr="00907BF9">
        <w:rPr>
          <w:b/>
        </w:rPr>
        <w:t>13.08.2020 года.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1680"/>
        <w:gridCol w:w="3298"/>
        <w:gridCol w:w="1134"/>
        <w:gridCol w:w="850"/>
        <w:gridCol w:w="1418"/>
        <w:gridCol w:w="1367"/>
      </w:tblGrid>
      <w:tr w:rsidR="000D2A53" w:rsidRPr="008F5647" w:rsidTr="008F5647">
        <w:trPr>
          <w:trHeight w:val="8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lastRenderedPageBreak/>
              <w:t>Наименование изделий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>Функциональная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 xml:space="preserve">Цена  </w:t>
            </w:r>
          </w:p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>за единицу</w:t>
            </w:r>
          </w:p>
          <w:p w:rsidR="000D2A53" w:rsidRPr="008F5647" w:rsidRDefault="000D2A53" w:rsidP="000D2A53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>Кол-во, (шт.)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>Суммарная стоимость, (руб.)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 xml:space="preserve">Срок </w:t>
            </w:r>
          </w:p>
          <w:p w:rsidR="000D2A53" w:rsidRPr="008F5647" w:rsidRDefault="000D2A53" w:rsidP="000D2A53">
            <w:pPr>
              <w:jc w:val="center"/>
              <w:rPr>
                <w:b/>
                <w:bCs/>
                <w:sz w:val="18"/>
                <w:szCs w:val="18"/>
              </w:rPr>
            </w:pPr>
            <w:r w:rsidRPr="008F5647">
              <w:rPr>
                <w:b/>
                <w:bCs/>
                <w:sz w:val="18"/>
                <w:szCs w:val="18"/>
              </w:rPr>
              <w:t>гарантии не менее  (месяцев)</w:t>
            </w:r>
          </w:p>
        </w:tc>
      </w:tr>
      <w:tr w:rsidR="008F5647" w:rsidRPr="008F5647" w:rsidTr="000400E0">
        <w:trPr>
          <w:trHeight w:val="18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ED" w:rsidRPr="008F5647" w:rsidRDefault="00907BF9" w:rsidP="00E866ED">
            <w:pPr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Протез предплечья с внешним источником энергии </w:t>
            </w:r>
          </w:p>
          <w:p w:rsidR="008F5647" w:rsidRPr="008F5647" w:rsidRDefault="008F5647" w:rsidP="008F5647">
            <w:pPr>
              <w:rPr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Протез предплечья с внешним источником энергии</w:t>
            </w:r>
            <w:r w:rsidR="00CA5697">
              <w:rPr>
                <w:sz w:val="18"/>
                <w:szCs w:val="18"/>
              </w:rPr>
              <w:t xml:space="preserve"> </w:t>
            </w:r>
            <w:r w:rsidR="00CA5697">
              <w:rPr>
                <w:sz w:val="20"/>
                <w:szCs w:val="20"/>
              </w:rPr>
              <w:t xml:space="preserve">(Шифр/модель, </w:t>
            </w:r>
            <w:r w:rsidR="00CA5697" w:rsidRPr="0064619F">
              <w:rPr>
                <w:sz w:val="20"/>
                <w:szCs w:val="20"/>
              </w:rPr>
              <w:t>страна</w:t>
            </w:r>
            <w:r w:rsidR="00CA5697">
              <w:rPr>
                <w:sz w:val="20"/>
                <w:szCs w:val="20"/>
              </w:rPr>
              <w:t xml:space="preserve"> </w:t>
            </w:r>
            <w:r w:rsidR="00CA5697" w:rsidRPr="008E2D29">
              <w:rPr>
                <w:sz w:val="22"/>
                <w:szCs w:val="22"/>
              </w:rPr>
              <w:t xml:space="preserve"> </w:t>
            </w:r>
            <w:r w:rsidR="00CA5697" w:rsidRPr="00BC4D5B">
              <w:rPr>
                <w:sz w:val="20"/>
                <w:szCs w:val="20"/>
              </w:rPr>
              <w:t>происхождения</w:t>
            </w:r>
            <w:r w:rsidR="00CA5697">
              <w:rPr>
                <w:sz w:val="18"/>
                <w:szCs w:val="18"/>
              </w:rPr>
              <w:t xml:space="preserve">) </w:t>
            </w:r>
            <w:r w:rsidRPr="00907BF9">
              <w:rPr>
                <w:sz w:val="18"/>
                <w:szCs w:val="18"/>
              </w:rPr>
              <w:t xml:space="preserve"> должен быть предназначен для компенсации врожденных и ампутационных дефектов предплечья на уровне запястья при </w:t>
            </w:r>
            <w:proofErr w:type="spellStart"/>
            <w:r w:rsidRPr="00907BF9">
              <w:rPr>
                <w:sz w:val="18"/>
                <w:szCs w:val="18"/>
              </w:rPr>
              <w:t>транскарпальной</w:t>
            </w:r>
            <w:proofErr w:type="spellEnd"/>
            <w:r w:rsidRPr="00907BF9">
              <w:rPr>
                <w:sz w:val="18"/>
                <w:szCs w:val="18"/>
              </w:rPr>
              <w:t xml:space="preserve"> ампутации кисти или вычленении кисти в лучезапястном суставе.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Протез предплечья с внешним источником энергии  должен состоять из двух основных частей: гильзы</w:t>
            </w:r>
            <w:r w:rsidR="00CA5697">
              <w:rPr>
                <w:sz w:val="18"/>
                <w:szCs w:val="18"/>
              </w:rPr>
              <w:t xml:space="preserve"> UBI или </w:t>
            </w:r>
            <w:r w:rsidR="00CA5697">
              <w:rPr>
                <w:bCs/>
                <w:sz w:val="20"/>
                <w:szCs w:val="20"/>
              </w:rPr>
              <w:t xml:space="preserve">эквивалент </w:t>
            </w:r>
            <w:r w:rsidR="00CA5697" w:rsidRPr="00DF33BB">
              <w:rPr>
                <w:sz w:val="20"/>
                <w:szCs w:val="20"/>
                <w:lang w:eastAsia="ar-SA"/>
              </w:rPr>
              <w:t xml:space="preserve">(шифр, артикул, производитель) </w:t>
            </w:r>
            <w:r w:rsidR="00CA5697" w:rsidRPr="00DF33BB">
              <w:rPr>
                <w:bCs/>
                <w:sz w:val="20"/>
                <w:szCs w:val="20"/>
              </w:rPr>
              <w:t xml:space="preserve"> </w:t>
            </w:r>
            <w:r w:rsidR="00CA5697">
              <w:rPr>
                <w:sz w:val="18"/>
                <w:szCs w:val="18"/>
              </w:rPr>
              <w:t xml:space="preserve"> и модуля кисти INDY </w:t>
            </w:r>
            <w:r w:rsidR="00CA5697">
              <w:rPr>
                <w:bCs/>
                <w:sz w:val="20"/>
                <w:szCs w:val="20"/>
              </w:rPr>
              <w:t xml:space="preserve">или эквивалент </w:t>
            </w:r>
            <w:r w:rsidR="00CA5697" w:rsidRPr="00DF33BB">
              <w:rPr>
                <w:sz w:val="20"/>
                <w:szCs w:val="20"/>
                <w:lang w:eastAsia="ar-SA"/>
              </w:rPr>
              <w:t xml:space="preserve">(шифр, артикул, производитель) </w:t>
            </w:r>
            <w:r w:rsidR="00CA5697" w:rsidRPr="00DF33BB">
              <w:rPr>
                <w:bCs/>
                <w:sz w:val="20"/>
                <w:szCs w:val="20"/>
              </w:rPr>
              <w:t xml:space="preserve"> </w:t>
            </w:r>
            <w:r w:rsidR="003E26A3">
              <w:rPr>
                <w:sz w:val="18"/>
                <w:szCs w:val="18"/>
              </w:rPr>
              <w:t xml:space="preserve"> </w:t>
            </w:r>
            <w:r w:rsidRPr="00907BF9">
              <w:rPr>
                <w:sz w:val="18"/>
                <w:szCs w:val="18"/>
              </w:rPr>
              <w:t xml:space="preserve">Гильза должна состоять из приемной и внешней.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Управление протезом предплечья с внешним источником энергии должно происходить за счет регистрации на поверхности кожи </w:t>
            </w:r>
            <w:proofErr w:type="spellStart"/>
            <w:r w:rsidRPr="00907BF9">
              <w:rPr>
                <w:sz w:val="18"/>
                <w:szCs w:val="18"/>
              </w:rPr>
              <w:t>электромиографического</w:t>
            </w:r>
            <w:proofErr w:type="spellEnd"/>
            <w:r w:rsidRPr="00907BF9">
              <w:rPr>
                <w:sz w:val="18"/>
                <w:szCs w:val="18"/>
              </w:rPr>
              <w:t xml:space="preserve"> сигнала посредством </w:t>
            </w:r>
            <w:proofErr w:type="spellStart"/>
            <w:r w:rsidRPr="00907BF9">
              <w:rPr>
                <w:sz w:val="18"/>
                <w:szCs w:val="18"/>
              </w:rPr>
              <w:t>миодатчиков</w:t>
            </w:r>
            <w:proofErr w:type="spellEnd"/>
            <w:r w:rsidRPr="00907BF9">
              <w:rPr>
                <w:sz w:val="18"/>
                <w:szCs w:val="18"/>
              </w:rPr>
              <w:t xml:space="preserve">, </w:t>
            </w:r>
            <w:proofErr w:type="gramStart"/>
            <w:r w:rsidRPr="00907BF9">
              <w:rPr>
                <w:sz w:val="18"/>
                <w:szCs w:val="18"/>
              </w:rPr>
              <w:t>зафиксированных</w:t>
            </w:r>
            <w:proofErr w:type="gramEnd"/>
            <w:r w:rsidRPr="00907BF9">
              <w:rPr>
                <w:sz w:val="18"/>
                <w:szCs w:val="18"/>
              </w:rPr>
              <w:t xml:space="preserve"> во внутренней гильзе, и последующим формированием управляющего сигнала на электромеханический модуль </w:t>
            </w:r>
            <w:proofErr w:type="spellStart"/>
            <w:r w:rsidRPr="00907BF9">
              <w:rPr>
                <w:sz w:val="18"/>
                <w:szCs w:val="18"/>
              </w:rPr>
              <w:t>схвата</w:t>
            </w:r>
            <w:proofErr w:type="spellEnd"/>
            <w:r w:rsidRPr="00907BF9">
              <w:rPr>
                <w:sz w:val="18"/>
                <w:szCs w:val="18"/>
              </w:rPr>
              <w:t xml:space="preserve">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В качестве источника энергии должен служить заряжаемый литий-ионный аккумулятор с защитой от перезаряда.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proofErr w:type="spellStart"/>
            <w:proofErr w:type="gramStart"/>
            <w:r w:rsidRPr="00907BF9">
              <w:rPr>
                <w:sz w:val="18"/>
                <w:szCs w:val="18"/>
              </w:rPr>
              <w:t>Схват</w:t>
            </w:r>
            <w:proofErr w:type="spellEnd"/>
            <w:r w:rsidRPr="00907BF9">
              <w:rPr>
                <w:sz w:val="18"/>
                <w:szCs w:val="18"/>
              </w:rPr>
              <w:t xml:space="preserve"> и</w:t>
            </w:r>
            <w:proofErr w:type="gramEnd"/>
            <w:r w:rsidRPr="00907BF9">
              <w:rPr>
                <w:sz w:val="18"/>
                <w:szCs w:val="18"/>
              </w:rPr>
              <w:t xml:space="preserve"> раскрытие активные должны обеспечиваться сведением/раскрытием первого пальца и остальных 4-х пальцев друг к другу, посредством работы в модуле кисти электродвигателя.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Кабели электродов и кабели питания от аккумулятора должны проходить внутри несущей гильзы и соединяться с кистью разъемным соединением.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Протез предплечья с внешним источником энергии должен иметь пассивную ротацию кисти в шарнире запястья.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proofErr w:type="gramStart"/>
            <w:r w:rsidRPr="00907BF9">
              <w:rPr>
                <w:sz w:val="18"/>
                <w:szCs w:val="18"/>
              </w:rPr>
              <w:t xml:space="preserve">Внешняя гильза должна изготавливаться по индивидуальному гипсовому слепку методом вакуумной </w:t>
            </w:r>
            <w:proofErr w:type="spellStart"/>
            <w:r w:rsidRPr="00907BF9">
              <w:rPr>
                <w:sz w:val="18"/>
                <w:szCs w:val="18"/>
              </w:rPr>
              <w:t>инфузии</w:t>
            </w:r>
            <w:proofErr w:type="spellEnd"/>
            <w:r w:rsidRPr="00907BF9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Приёмная гильза должна изготавливаться из мягких смол (</w:t>
            </w:r>
            <w:proofErr w:type="spellStart"/>
            <w:r w:rsidRPr="00907BF9">
              <w:rPr>
                <w:sz w:val="18"/>
                <w:szCs w:val="18"/>
              </w:rPr>
              <w:t>термолин</w:t>
            </w:r>
            <w:proofErr w:type="spellEnd"/>
            <w:r w:rsidRPr="00907BF9">
              <w:rPr>
                <w:sz w:val="18"/>
                <w:szCs w:val="18"/>
              </w:rPr>
              <w:t>) или силикона. Удержание протеза на культе за счет мягких тканей и формы культи.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Технические характеристики аккумулятора протеза предплечья с </w:t>
            </w:r>
            <w:r w:rsidRPr="00907BF9">
              <w:rPr>
                <w:sz w:val="18"/>
                <w:szCs w:val="18"/>
              </w:rPr>
              <w:lastRenderedPageBreak/>
              <w:t xml:space="preserve">внешним источником энергии должны быть: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>на выбор - 1,2 или 2,5</w:t>
            </w:r>
            <w:proofErr w:type="gramStart"/>
            <w:r w:rsidRPr="00907BF9">
              <w:rPr>
                <w:sz w:val="18"/>
                <w:szCs w:val="18"/>
              </w:rPr>
              <w:t xml:space="preserve"> А</w:t>
            </w:r>
            <w:proofErr w:type="gramEnd"/>
            <w:r w:rsidRPr="00907BF9">
              <w:rPr>
                <w:sz w:val="18"/>
                <w:szCs w:val="18"/>
              </w:rPr>
              <w:t xml:space="preserve">/ч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зарядка через универсальный разъем USB </w:t>
            </w:r>
            <w:proofErr w:type="spellStart"/>
            <w:r w:rsidRPr="00907BF9">
              <w:rPr>
                <w:sz w:val="18"/>
                <w:szCs w:val="18"/>
              </w:rPr>
              <w:t>type</w:t>
            </w:r>
            <w:proofErr w:type="spellEnd"/>
            <w:r w:rsidRPr="00907BF9">
              <w:rPr>
                <w:sz w:val="18"/>
                <w:szCs w:val="18"/>
              </w:rPr>
              <w:t xml:space="preserve"> C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>1,2</w:t>
            </w:r>
            <w:proofErr w:type="gramStart"/>
            <w:r w:rsidRPr="00907BF9">
              <w:rPr>
                <w:sz w:val="18"/>
                <w:szCs w:val="18"/>
              </w:rPr>
              <w:t xml:space="preserve"> А</w:t>
            </w:r>
            <w:proofErr w:type="gramEnd"/>
            <w:r w:rsidRPr="00907BF9">
              <w:rPr>
                <w:sz w:val="18"/>
                <w:szCs w:val="18"/>
              </w:rPr>
              <w:t xml:space="preserve">/ч Время до полной зарядки – </w:t>
            </w:r>
            <w:r w:rsidR="00CA5697">
              <w:rPr>
                <w:sz w:val="18"/>
                <w:szCs w:val="18"/>
              </w:rPr>
              <w:t xml:space="preserve">не более </w:t>
            </w:r>
            <w:r w:rsidRPr="00907BF9">
              <w:rPr>
                <w:sz w:val="18"/>
                <w:szCs w:val="18"/>
              </w:rPr>
              <w:t xml:space="preserve">3,5 часа;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>2,5</w:t>
            </w:r>
            <w:proofErr w:type="gramStart"/>
            <w:r w:rsidRPr="00907BF9">
              <w:rPr>
                <w:sz w:val="18"/>
                <w:szCs w:val="18"/>
              </w:rPr>
              <w:t xml:space="preserve"> А</w:t>
            </w:r>
            <w:proofErr w:type="gramEnd"/>
            <w:r w:rsidRPr="00907BF9">
              <w:rPr>
                <w:sz w:val="18"/>
                <w:szCs w:val="18"/>
              </w:rPr>
              <w:t>/ч:</w:t>
            </w:r>
            <w:r w:rsidR="00CA5697">
              <w:rPr>
                <w:sz w:val="18"/>
                <w:szCs w:val="18"/>
              </w:rPr>
              <w:t xml:space="preserve"> </w:t>
            </w:r>
            <w:r w:rsidRPr="00907BF9">
              <w:rPr>
                <w:sz w:val="18"/>
                <w:szCs w:val="18"/>
              </w:rPr>
              <w:t xml:space="preserve">Время до полной зарядки – </w:t>
            </w:r>
            <w:r w:rsidR="00CA5697">
              <w:rPr>
                <w:sz w:val="18"/>
                <w:szCs w:val="18"/>
              </w:rPr>
              <w:t xml:space="preserve">не более </w:t>
            </w:r>
            <w:r w:rsidRPr="00907BF9">
              <w:rPr>
                <w:sz w:val="18"/>
                <w:szCs w:val="18"/>
              </w:rPr>
              <w:t xml:space="preserve">5,5 часа;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Технические характеристики модуля кисти протеза предплечья с внешним источником энергии: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>Рабочее напряжение – 6</w:t>
            </w:r>
            <w:proofErr w:type="gramStart"/>
            <w:r w:rsidRPr="00907BF9">
              <w:rPr>
                <w:sz w:val="18"/>
                <w:szCs w:val="18"/>
              </w:rPr>
              <w:t xml:space="preserve"> В</w:t>
            </w:r>
            <w:proofErr w:type="gramEnd"/>
            <w:r w:rsidRPr="00907BF9">
              <w:rPr>
                <w:sz w:val="18"/>
                <w:szCs w:val="18"/>
              </w:rPr>
              <w:t xml:space="preserve">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Рабочая температура – от -10 до 40С;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Ширина раскрытия – </w:t>
            </w:r>
            <w:r w:rsidR="00CA5697">
              <w:rPr>
                <w:sz w:val="18"/>
                <w:szCs w:val="18"/>
              </w:rPr>
              <w:t xml:space="preserve">до </w:t>
            </w:r>
            <w:r w:rsidRPr="00907BF9">
              <w:rPr>
                <w:sz w:val="18"/>
                <w:szCs w:val="18"/>
              </w:rPr>
              <w:t xml:space="preserve">100мм;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Макс. усилия захвата – </w:t>
            </w:r>
            <w:r w:rsidR="00CA5697">
              <w:rPr>
                <w:sz w:val="18"/>
                <w:szCs w:val="18"/>
              </w:rPr>
              <w:t xml:space="preserve">до </w:t>
            </w:r>
            <w:r w:rsidRPr="00907BF9">
              <w:rPr>
                <w:sz w:val="18"/>
                <w:szCs w:val="18"/>
              </w:rPr>
              <w:t xml:space="preserve">90Н;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Время полного раскрытия закрытия </w:t>
            </w:r>
            <w:r w:rsidR="00CA5697">
              <w:rPr>
                <w:sz w:val="18"/>
                <w:szCs w:val="18"/>
              </w:rPr>
              <w:t>–</w:t>
            </w:r>
            <w:r w:rsidRPr="00907BF9">
              <w:rPr>
                <w:sz w:val="18"/>
                <w:szCs w:val="18"/>
              </w:rPr>
              <w:t xml:space="preserve"> </w:t>
            </w:r>
            <w:r w:rsidR="00CA5697">
              <w:rPr>
                <w:sz w:val="18"/>
                <w:szCs w:val="18"/>
              </w:rPr>
              <w:t xml:space="preserve">не более </w:t>
            </w:r>
            <w:r w:rsidRPr="00907BF9">
              <w:rPr>
                <w:sz w:val="18"/>
                <w:szCs w:val="18"/>
              </w:rPr>
              <w:t>1,5</w:t>
            </w:r>
            <w:proofErr w:type="gramStart"/>
            <w:r w:rsidRPr="00907BF9">
              <w:rPr>
                <w:sz w:val="18"/>
                <w:szCs w:val="18"/>
              </w:rPr>
              <w:t>с</w:t>
            </w:r>
            <w:proofErr w:type="gramEnd"/>
            <w:r w:rsidRPr="00907BF9">
              <w:rPr>
                <w:sz w:val="18"/>
                <w:szCs w:val="18"/>
              </w:rPr>
              <w:t xml:space="preserve">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Вес </w:t>
            </w:r>
            <w:proofErr w:type="spellStart"/>
            <w:r w:rsidRPr="00907BF9">
              <w:rPr>
                <w:sz w:val="18"/>
                <w:szCs w:val="18"/>
              </w:rPr>
              <w:t>моудля</w:t>
            </w:r>
            <w:proofErr w:type="spellEnd"/>
            <w:r w:rsidRPr="00907BF9">
              <w:rPr>
                <w:sz w:val="18"/>
                <w:szCs w:val="18"/>
              </w:rPr>
              <w:t xml:space="preserve"> кисти – </w:t>
            </w:r>
            <w:r w:rsidR="00CA5697">
              <w:rPr>
                <w:sz w:val="18"/>
                <w:szCs w:val="18"/>
              </w:rPr>
              <w:t xml:space="preserve">не более </w:t>
            </w:r>
            <w:r w:rsidRPr="00907BF9">
              <w:rPr>
                <w:sz w:val="18"/>
                <w:szCs w:val="18"/>
              </w:rPr>
              <w:t xml:space="preserve">410 г.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Комплект поставки должен включать: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Модуль кисти - 1шт.;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Система питания, включающая 2 аккумулятора - 1шт;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Система управления - 1шт;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 xml:space="preserve">Руководство по эксплуатации – 1 шт.; 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>•</w:t>
            </w:r>
            <w:r w:rsidRPr="00907BF9">
              <w:rPr>
                <w:sz w:val="18"/>
                <w:szCs w:val="18"/>
              </w:rPr>
              <w:tab/>
              <w:t>Руководство протезиста - 1 шт.;</w:t>
            </w:r>
          </w:p>
          <w:p w:rsidR="00907BF9" w:rsidRPr="00907BF9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 </w:t>
            </w:r>
          </w:p>
          <w:p w:rsidR="008F5647" w:rsidRPr="009C5618" w:rsidRDefault="00907BF9" w:rsidP="00907BF9">
            <w:pPr>
              <w:pStyle w:val="a6"/>
              <w:autoSpaceDE w:val="0"/>
              <w:rPr>
                <w:sz w:val="18"/>
                <w:szCs w:val="18"/>
              </w:rPr>
            </w:pPr>
            <w:r w:rsidRPr="00907BF9">
              <w:rPr>
                <w:sz w:val="18"/>
                <w:szCs w:val="18"/>
              </w:rPr>
              <w:t xml:space="preserve">  Срок службы не менее 3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7" w:rsidRPr="008F5647" w:rsidRDefault="00450CA4">
            <w:pPr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  <w:lang w:eastAsia="ar-SA"/>
              </w:rPr>
              <w:lastRenderedPageBreak/>
              <w:t>460 000,00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7" w:rsidRPr="008F5647" w:rsidRDefault="0090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7" w:rsidRPr="008F5647" w:rsidRDefault="00450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1 380 000,00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7" w:rsidRPr="000400E0" w:rsidRDefault="0059176D" w:rsidP="000D2A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F5647" w:rsidRPr="008F5647" w:rsidTr="008F5647">
        <w:trPr>
          <w:trHeight w:val="504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7" w:rsidRPr="008F5647" w:rsidRDefault="008F5647" w:rsidP="000D2A53">
            <w:pPr>
              <w:jc w:val="center"/>
              <w:rPr>
                <w:color w:val="FF0000"/>
                <w:sz w:val="18"/>
                <w:szCs w:val="18"/>
              </w:rPr>
            </w:pPr>
            <w:r w:rsidRPr="008F5647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7" w:rsidRPr="008F5647" w:rsidRDefault="00907BF9" w:rsidP="0090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7" w:rsidRPr="008F5647" w:rsidRDefault="00450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1 380 000,00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7" w:rsidRPr="008F5647" w:rsidRDefault="008F5647" w:rsidP="000D2A5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0D2A53" w:rsidRPr="008F5647" w:rsidRDefault="000D2A53" w:rsidP="00696714">
      <w:pPr>
        <w:tabs>
          <w:tab w:val="left" w:pos="2910"/>
        </w:tabs>
        <w:ind w:left="-142"/>
        <w:rPr>
          <w:b/>
        </w:rPr>
      </w:pPr>
      <w:r>
        <w:rPr>
          <w:color w:val="FF0000"/>
        </w:rPr>
        <w:br w:type="textWrapping" w:clear="all"/>
      </w:r>
      <w:bookmarkStart w:id="0" w:name="_GoBack"/>
      <w:bookmarkEnd w:id="0"/>
    </w:p>
    <w:p w:rsidR="000D2A53" w:rsidRPr="008F5647" w:rsidRDefault="000D2A53" w:rsidP="003029AB">
      <w:pPr>
        <w:pStyle w:val="a5"/>
        <w:keepNext/>
        <w:keepLines/>
        <w:suppressAutoHyphens/>
        <w:ind w:left="-142" w:right="-1"/>
        <w:jc w:val="both"/>
        <w:rPr>
          <w:b w:val="0"/>
          <w:bCs/>
          <w:sz w:val="24"/>
          <w:szCs w:val="24"/>
          <w:lang w:eastAsia="en-US"/>
        </w:rPr>
      </w:pPr>
    </w:p>
    <w:sectPr w:rsidR="000D2A53" w:rsidRPr="008F5647" w:rsidSect="001B04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1442C"/>
    <w:rsid w:val="000400E0"/>
    <w:rsid w:val="00041E30"/>
    <w:rsid w:val="000802A5"/>
    <w:rsid w:val="00081FED"/>
    <w:rsid w:val="0008360D"/>
    <w:rsid w:val="00095D84"/>
    <w:rsid w:val="000C0F42"/>
    <w:rsid w:val="000D2A53"/>
    <w:rsid w:val="000E0E19"/>
    <w:rsid w:val="000F6DE8"/>
    <w:rsid w:val="001031C3"/>
    <w:rsid w:val="001432D1"/>
    <w:rsid w:val="00167ED1"/>
    <w:rsid w:val="001A0A73"/>
    <w:rsid w:val="001B04F3"/>
    <w:rsid w:val="001B3353"/>
    <w:rsid w:val="001C6823"/>
    <w:rsid w:val="001E185A"/>
    <w:rsid w:val="001E60BE"/>
    <w:rsid w:val="001F7464"/>
    <w:rsid w:val="001F777D"/>
    <w:rsid w:val="002552CB"/>
    <w:rsid w:val="002736E9"/>
    <w:rsid w:val="00291B4E"/>
    <w:rsid w:val="002A002E"/>
    <w:rsid w:val="002A5850"/>
    <w:rsid w:val="002A7341"/>
    <w:rsid w:val="002E16BD"/>
    <w:rsid w:val="002E5CDD"/>
    <w:rsid w:val="002E71FA"/>
    <w:rsid w:val="002F129E"/>
    <w:rsid w:val="002F5E14"/>
    <w:rsid w:val="003029AB"/>
    <w:rsid w:val="00337FDB"/>
    <w:rsid w:val="00346E2B"/>
    <w:rsid w:val="00352EEF"/>
    <w:rsid w:val="00361652"/>
    <w:rsid w:val="00366B88"/>
    <w:rsid w:val="00381C74"/>
    <w:rsid w:val="0038742C"/>
    <w:rsid w:val="0039280D"/>
    <w:rsid w:val="003A45B3"/>
    <w:rsid w:val="003B4AC3"/>
    <w:rsid w:val="003E26A3"/>
    <w:rsid w:val="003F390B"/>
    <w:rsid w:val="0040604C"/>
    <w:rsid w:val="00430FF1"/>
    <w:rsid w:val="00443722"/>
    <w:rsid w:val="00450CA4"/>
    <w:rsid w:val="00493504"/>
    <w:rsid w:val="004B3975"/>
    <w:rsid w:val="004B3DF6"/>
    <w:rsid w:val="004B696A"/>
    <w:rsid w:val="00525D22"/>
    <w:rsid w:val="00534CDD"/>
    <w:rsid w:val="00580D60"/>
    <w:rsid w:val="0059176D"/>
    <w:rsid w:val="005B05F1"/>
    <w:rsid w:val="005E09A8"/>
    <w:rsid w:val="005F2B02"/>
    <w:rsid w:val="00653C97"/>
    <w:rsid w:val="00693909"/>
    <w:rsid w:val="00696714"/>
    <w:rsid w:val="006E0B0C"/>
    <w:rsid w:val="006F31C6"/>
    <w:rsid w:val="007036F4"/>
    <w:rsid w:val="00710C6E"/>
    <w:rsid w:val="00720E34"/>
    <w:rsid w:val="00723168"/>
    <w:rsid w:val="00733E28"/>
    <w:rsid w:val="007428A0"/>
    <w:rsid w:val="007736B9"/>
    <w:rsid w:val="00783542"/>
    <w:rsid w:val="00784883"/>
    <w:rsid w:val="007A3354"/>
    <w:rsid w:val="007C3B66"/>
    <w:rsid w:val="007D66C6"/>
    <w:rsid w:val="007E5070"/>
    <w:rsid w:val="007F4EE3"/>
    <w:rsid w:val="00837F3E"/>
    <w:rsid w:val="008414BC"/>
    <w:rsid w:val="00890FE8"/>
    <w:rsid w:val="008C6B9A"/>
    <w:rsid w:val="008E4658"/>
    <w:rsid w:val="008E56F0"/>
    <w:rsid w:val="008F5647"/>
    <w:rsid w:val="00907BF9"/>
    <w:rsid w:val="009172D9"/>
    <w:rsid w:val="00936D8F"/>
    <w:rsid w:val="009C5618"/>
    <w:rsid w:val="00A133D6"/>
    <w:rsid w:val="00A15540"/>
    <w:rsid w:val="00A27DE2"/>
    <w:rsid w:val="00A43D21"/>
    <w:rsid w:val="00A45C5C"/>
    <w:rsid w:val="00A565CF"/>
    <w:rsid w:val="00A752C6"/>
    <w:rsid w:val="00A772BE"/>
    <w:rsid w:val="00A876CD"/>
    <w:rsid w:val="00A8777B"/>
    <w:rsid w:val="00A932DA"/>
    <w:rsid w:val="00AC3CC4"/>
    <w:rsid w:val="00AD03B9"/>
    <w:rsid w:val="00AF3B28"/>
    <w:rsid w:val="00AF63FD"/>
    <w:rsid w:val="00B93484"/>
    <w:rsid w:val="00B9547A"/>
    <w:rsid w:val="00B968E5"/>
    <w:rsid w:val="00BA1B53"/>
    <w:rsid w:val="00BA1D8D"/>
    <w:rsid w:val="00BA3954"/>
    <w:rsid w:val="00BB453E"/>
    <w:rsid w:val="00BB47C4"/>
    <w:rsid w:val="00BB7437"/>
    <w:rsid w:val="00C0371E"/>
    <w:rsid w:val="00C14ED8"/>
    <w:rsid w:val="00C21B89"/>
    <w:rsid w:val="00C42751"/>
    <w:rsid w:val="00CA5697"/>
    <w:rsid w:val="00CB4B42"/>
    <w:rsid w:val="00CB5086"/>
    <w:rsid w:val="00CC6212"/>
    <w:rsid w:val="00CE0CAD"/>
    <w:rsid w:val="00D426AB"/>
    <w:rsid w:val="00D642D9"/>
    <w:rsid w:val="00D83604"/>
    <w:rsid w:val="00D95546"/>
    <w:rsid w:val="00DF4E71"/>
    <w:rsid w:val="00DF7420"/>
    <w:rsid w:val="00E11629"/>
    <w:rsid w:val="00E14833"/>
    <w:rsid w:val="00E156A1"/>
    <w:rsid w:val="00E509B3"/>
    <w:rsid w:val="00E52751"/>
    <w:rsid w:val="00E866ED"/>
    <w:rsid w:val="00E952DA"/>
    <w:rsid w:val="00EA0E05"/>
    <w:rsid w:val="00EB782D"/>
    <w:rsid w:val="00EC3A74"/>
    <w:rsid w:val="00EC49D7"/>
    <w:rsid w:val="00ED2E73"/>
    <w:rsid w:val="00F63832"/>
    <w:rsid w:val="00FA00CC"/>
    <w:rsid w:val="00FA15D5"/>
    <w:rsid w:val="00FC39E2"/>
    <w:rsid w:val="00FD1B1F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  <w:style w:type="paragraph" w:styleId="a6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7"/>
    <w:rsid w:val="000D2A53"/>
    <w:pPr>
      <w:spacing w:after="120"/>
      <w:jc w:val="both"/>
    </w:pPr>
  </w:style>
  <w:style w:type="character" w:customStyle="1" w:styleId="a7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6"/>
    <w:rsid w:val="000D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0D2A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Streltsova</dc:creator>
  <cp:lastModifiedBy>Юсупова Светлана Владимировна</cp:lastModifiedBy>
  <cp:revision>10</cp:revision>
  <cp:lastPrinted>2020-03-24T13:18:00Z</cp:lastPrinted>
  <dcterms:created xsi:type="dcterms:W3CDTF">2020-03-11T08:32:00Z</dcterms:created>
  <dcterms:modified xsi:type="dcterms:W3CDTF">2020-03-27T07:28:00Z</dcterms:modified>
</cp:coreProperties>
</file>