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73" w:rsidRDefault="001A0A73" w:rsidP="00783542">
      <w:pPr>
        <w:ind w:left="-142"/>
        <w:jc w:val="center"/>
        <w:rPr>
          <w:b/>
        </w:rPr>
      </w:pPr>
      <w:r w:rsidRPr="00AC3CC4">
        <w:rPr>
          <w:b/>
        </w:rPr>
        <w:t>Описание объекта закупки</w:t>
      </w:r>
    </w:p>
    <w:p w:rsidR="00323520" w:rsidRPr="00323520" w:rsidRDefault="00162A58" w:rsidP="00162A58">
      <w:pPr>
        <w:keepNext/>
        <w:keepLines/>
        <w:suppressAutoHyphens/>
        <w:jc w:val="center"/>
        <w:rPr>
          <w:b/>
          <w:bCs/>
          <w:lang w:eastAsia="ar-SA"/>
        </w:rPr>
      </w:pPr>
      <w:r w:rsidRPr="00162A58">
        <w:rPr>
          <w:b/>
          <w:bCs/>
          <w:lang w:eastAsia="ar-SA"/>
        </w:rPr>
        <w:t>Выполнение работ по обеспечению инвалидов Ростовской области протезами.</w:t>
      </w:r>
    </w:p>
    <w:p w:rsidR="001A0A73" w:rsidRPr="00AC3CC4" w:rsidRDefault="001A0A73" w:rsidP="00783542">
      <w:pPr>
        <w:ind w:left="-142"/>
        <w:jc w:val="center"/>
        <w:rPr>
          <w:b/>
        </w:rPr>
      </w:pPr>
      <w:r w:rsidRPr="00AC3CC4">
        <w:rPr>
          <w:b/>
        </w:rPr>
        <w:t>Требования к качеству, техническим, функциональным характеристикам протезов нижн</w:t>
      </w:r>
      <w:r w:rsidR="003A45B3" w:rsidRPr="00AC3CC4">
        <w:rPr>
          <w:b/>
        </w:rPr>
        <w:t>их</w:t>
      </w:r>
      <w:r w:rsidRPr="00AC3CC4">
        <w:rPr>
          <w:b/>
        </w:rPr>
        <w:t xml:space="preserve"> конечност</w:t>
      </w:r>
      <w:r w:rsidR="003A45B3" w:rsidRPr="00AC3CC4">
        <w:rPr>
          <w:b/>
        </w:rPr>
        <w:t>ей.</w:t>
      </w:r>
    </w:p>
    <w:p w:rsidR="001A0A73" w:rsidRPr="00AC3CC4" w:rsidRDefault="001A0A73" w:rsidP="00783542">
      <w:pPr>
        <w:ind w:left="-142"/>
        <w:jc w:val="center"/>
        <w:rPr>
          <w:b/>
        </w:rPr>
      </w:pPr>
      <w:r w:rsidRPr="00AC3CC4">
        <w:rPr>
          <w:b/>
        </w:rPr>
        <w:t>Требования к качеству работ</w:t>
      </w:r>
    </w:p>
    <w:p w:rsidR="001A0A73" w:rsidRPr="00AC3CC4" w:rsidRDefault="001A0A73" w:rsidP="008E4658">
      <w:pPr>
        <w:ind w:left="-567" w:firstLine="708"/>
        <w:jc w:val="both"/>
      </w:pPr>
      <w:r w:rsidRPr="00AC3CC4">
        <w:t xml:space="preserve">Протезы нижних конечностей должны соответствовать требованиям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AC3CC4">
        <w:t>цитотоксичность</w:t>
      </w:r>
      <w:proofErr w:type="spellEnd"/>
      <w:r w:rsidRPr="00AC3CC4">
        <w:t xml:space="preserve">: методы </w:t>
      </w:r>
      <w:proofErr w:type="spellStart"/>
      <w:r w:rsidRPr="00AC3CC4">
        <w:t>in</w:t>
      </w:r>
      <w:proofErr w:type="spellEnd"/>
      <w:r w:rsidRPr="00AC3CC4">
        <w:t xml:space="preserve"> </w:t>
      </w:r>
      <w:proofErr w:type="spellStart"/>
      <w:r w:rsidRPr="00AC3CC4">
        <w:t>vitro</w:t>
      </w:r>
      <w:proofErr w:type="spellEnd"/>
      <w:r w:rsidRPr="00AC3CC4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proofErr w:type="gramStart"/>
      <w:r w:rsidRPr="00AC3CC4">
        <w:t>Р</w:t>
      </w:r>
      <w:proofErr w:type="gramEnd"/>
      <w:r w:rsidRPr="00AC3CC4"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AC3CC4">
        <w:t>Р</w:t>
      </w:r>
      <w:proofErr w:type="gramEnd"/>
      <w:r w:rsidRPr="00AC3CC4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</w:t>
      </w:r>
      <w:proofErr w:type="gramStart"/>
      <w:r w:rsidRPr="00AC3CC4">
        <w:t>Р</w:t>
      </w:r>
      <w:proofErr w:type="gramEnd"/>
      <w:r w:rsidRPr="00AC3CC4">
        <w:t xml:space="preserve"> ИСО 22523-2007 «Протезы конечностей и </w:t>
      </w:r>
      <w:proofErr w:type="spellStart"/>
      <w:r w:rsidRPr="00AC3CC4">
        <w:t>ортезы</w:t>
      </w:r>
      <w:proofErr w:type="spellEnd"/>
      <w:r w:rsidRPr="00AC3CC4">
        <w:t xml:space="preserve"> наружные. Требования и методы испытаний».</w:t>
      </w:r>
    </w:p>
    <w:p w:rsidR="001A0A73" w:rsidRPr="00AC3CC4" w:rsidRDefault="001A0A73" w:rsidP="008E4658">
      <w:pPr>
        <w:ind w:left="-567" w:firstLine="708"/>
        <w:jc w:val="both"/>
      </w:pPr>
      <w:r w:rsidRPr="00AC3CC4">
        <w:t>Протезы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1A0A73" w:rsidRPr="00AC3CC4" w:rsidRDefault="001A0A73" w:rsidP="008E4658">
      <w:pPr>
        <w:ind w:left="-567"/>
        <w:jc w:val="center"/>
        <w:rPr>
          <w:b/>
        </w:rPr>
      </w:pPr>
      <w:r w:rsidRPr="00AC3CC4">
        <w:rPr>
          <w:b/>
        </w:rPr>
        <w:t>Требования к техническим и функциональным характеристикам работ</w:t>
      </w:r>
    </w:p>
    <w:p w:rsidR="001A0A73" w:rsidRPr="00AC3CC4" w:rsidRDefault="001A0A73" w:rsidP="008E4658">
      <w:pPr>
        <w:ind w:left="-567" w:firstLine="708"/>
        <w:jc w:val="both"/>
      </w:pPr>
      <w:r w:rsidRPr="00AC3CC4">
        <w:t xml:space="preserve">Выполняемые работы по обеспечению инвалида протезами  конечности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</w:t>
      </w:r>
      <w:proofErr w:type="gramStart"/>
      <w:r w:rsidRPr="00AC3CC4">
        <w:t>форму</w:t>
      </w:r>
      <w:proofErr w:type="gramEnd"/>
      <w:r w:rsidRPr="00AC3CC4">
        <w:t xml:space="preserve"> и внешний вид отсутствующей ее части. Постоянный протез  конечности предназначается после завершения использования лечебно-тренировочного протеза. Рабочий протез нижней конечности имеет внешний вид упрощенной конструкции протеза без стопы.</w:t>
      </w:r>
    </w:p>
    <w:p w:rsidR="001A0A73" w:rsidRPr="00AC3CC4" w:rsidRDefault="001A0A73" w:rsidP="008E4658">
      <w:pPr>
        <w:ind w:left="-567"/>
        <w:jc w:val="center"/>
        <w:rPr>
          <w:b/>
        </w:rPr>
      </w:pPr>
      <w:r w:rsidRPr="00AC3CC4">
        <w:rPr>
          <w:b/>
        </w:rPr>
        <w:t>Требования к безопасности работ</w:t>
      </w:r>
    </w:p>
    <w:p w:rsidR="001A0A73" w:rsidRPr="00AC3CC4" w:rsidRDefault="001A0A73" w:rsidP="008E4658">
      <w:pPr>
        <w:ind w:left="-567" w:firstLine="708"/>
        <w:jc w:val="both"/>
      </w:pPr>
      <w:r w:rsidRPr="00AC3CC4">
        <w:t>Проведение работ по обеспечению инвалида протезами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1A0A73" w:rsidRPr="00AC3CC4" w:rsidRDefault="001A0A73" w:rsidP="008E4658">
      <w:pPr>
        <w:ind w:left="-567"/>
        <w:jc w:val="center"/>
        <w:rPr>
          <w:b/>
        </w:rPr>
      </w:pPr>
      <w:r w:rsidRPr="00AC3CC4">
        <w:rPr>
          <w:b/>
        </w:rPr>
        <w:t>Требования к результатам работ</w:t>
      </w:r>
    </w:p>
    <w:p w:rsidR="001A0A73" w:rsidRPr="00AC3CC4" w:rsidRDefault="001A0A73" w:rsidP="008E4658">
      <w:pPr>
        <w:ind w:left="-567" w:firstLine="708"/>
        <w:jc w:val="both"/>
      </w:pPr>
      <w:r w:rsidRPr="00AC3CC4">
        <w:t>Работы по обеспечению инвалида протезами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8F4149" w:rsidRPr="00AC3CC4" w:rsidRDefault="008F4149" w:rsidP="008F4149">
      <w:pPr>
        <w:ind w:left="-567" w:firstLine="708"/>
        <w:jc w:val="both"/>
      </w:pPr>
      <w:r w:rsidRPr="00AC3CC4">
        <w:t>Требования к срокам и (или) объему предоставления гарантии качества работ</w:t>
      </w:r>
      <w:r>
        <w:t>.</w:t>
      </w:r>
    </w:p>
    <w:p w:rsidR="008F4149" w:rsidRPr="00AC3CC4" w:rsidRDefault="008F4149" w:rsidP="008F4149">
      <w:pPr>
        <w:ind w:left="-567"/>
        <w:jc w:val="both"/>
      </w:pPr>
      <w:r w:rsidRPr="00AC3CC4">
        <w:t>Гарантийный срок на протезы устанавливается со дня выдачи готового изделия в эксплуатацию</w:t>
      </w:r>
      <w:r>
        <w:t xml:space="preserve">, составляет не менее </w:t>
      </w:r>
      <w:r w:rsidR="004C3F14">
        <w:t>12</w:t>
      </w:r>
      <w:r>
        <w:t xml:space="preserve"> месяцев,</w:t>
      </w:r>
      <w:r w:rsidRPr="00AC3CC4">
        <w:t xml:space="preserve"> в течение этого срока предприятие-изготовитель производит замену или ремонт изделия бесплатно.</w:t>
      </w:r>
    </w:p>
    <w:p w:rsidR="008F4149" w:rsidRPr="00AC3CC4" w:rsidRDefault="008F4149" w:rsidP="008F4149">
      <w:pPr>
        <w:ind w:left="-567" w:firstLine="850"/>
        <w:jc w:val="both"/>
      </w:pPr>
      <w:r w:rsidRPr="00AC3CC4">
        <w:t>Протезы должны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1A0A73" w:rsidRPr="007A3354" w:rsidRDefault="001A0A73" w:rsidP="008E4658">
      <w:pPr>
        <w:ind w:left="-567"/>
        <w:jc w:val="center"/>
        <w:rPr>
          <w:b/>
        </w:rPr>
      </w:pPr>
      <w:r w:rsidRPr="007A3354">
        <w:rPr>
          <w:b/>
        </w:rPr>
        <w:lastRenderedPageBreak/>
        <w:t>Место, условия и сроки (периоды) выполнения работ</w:t>
      </w:r>
    </w:p>
    <w:p w:rsidR="007A3354" w:rsidRPr="007A3354" w:rsidRDefault="006F31C6" w:rsidP="008E4658">
      <w:pPr>
        <w:ind w:left="-567" w:firstLine="708"/>
        <w:jc w:val="both"/>
        <w:rPr>
          <w:sz w:val="22"/>
        </w:rPr>
      </w:pPr>
      <w:r w:rsidRPr="007A3354">
        <w:t xml:space="preserve">В контракте указываются сроки выполнения работ, заявленные исполнителем в заявке. По согласованию между сторонами в контракте могут быть предусмотрены также сроки завершения отдельных этапов работы (промежуточные сроки). Если иное не установлено законом, иными правовыми актами или не предусмотрено контрактом, исполнитель несет ответственность за </w:t>
      </w:r>
      <w:r w:rsidRPr="00A45C5C">
        <w:t xml:space="preserve">нарушение как начального </w:t>
      </w:r>
      <w:r w:rsidRPr="00D642D9">
        <w:t xml:space="preserve">и конечного, так и промежуточных сроков выполнения работы. </w:t>
      </w:r>
      <w:r w:rsidR="00AC3CC4" w:rsidRPr="00D642D9">
        <w:rPr>
          <w:bCs/>
          <w:iCs/>
        </w:rPr>
        <w:t xml:space="preserve">Место выполнения работ: </w:t>
      </w:r>
      <w:bookmarkStart w:id="0" w:name="_GoBack"/>
      <w:r w:rsidR="007A3354" w:rsidRPr="00D642D9">
        <w:rPr>
          <w:szCs w:val="28"/>
        </w:rPr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изделиями.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Ростова-на-Дону и Ростовской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</w:t>
      </w:r>
      <w:proofErr w:type="gramStart"/>
      <w:r w:rsidR="007A3354" w:rsidRPr="00D642D9">
        <w:rPr>
          <w:szCs w:val="28"/>
        </w:rPr>
        <w:t>.</w:t>
      </w:r>
      <w:proofErr w:type="gramEnd"/>
      <w:r w:rsidR="00A45C5C" w:rsidRPr="00D642D9">
        <w:rPr>
          <w:bCs/>
          <w:iCs/>
        </w:rPr>
        <w:t xml:space="preserve"> </w:t>
      </w:r>
      <w:proofErr w:type="gramStart"/>
      <w:r w:rsidR="00A45C5C" w:rsidRPr="00D642D9">
        <w:rPr>
          <w:bCs/>
          <w:iCs/>
        </w:rPr>
        <w:t>в</w:t>
      </w:r>
      <w:proofErr w:type="gramEnd"/>
      <w:r w:rsidR="00A45C5C" w:rsidRPr="00D642D9">
        <w:rPr>
          <w:bCs/>
          <w:iCs/>
        </w:rPr>
        <w:t xml:space="preserve"> срок </w:t>
      </w:r>
      <w:r w:rsidR="00A45C5C" w:rsidRPr="00323520">
        <w:rPr>
          <w:b/>
          <w:bCs/>
          <w:iCs/>
        </w:rPr>
        <w:t>не более 60 календарных дней</w:t>
      </w:r>
      <w:r w:rsidR="00A45C5C" w:rsidRPr="00D642D9">
        <w:rPr>
          <w:bCs/>
          <w:iCs/>
        </w:rPr>
        <w:t xml:space="preserve"> с момента получения Направлений, выданных фили</w:t>
      </w:r>
      <w:r w:rsidR="00323520">
        <w:rPr>
          <w:bCs/>
          <w:iCs/>
        </w:rPr>
        <w:t xml:space="preserve">алом Заказчика, но </w:t>
      </w:r>
      <w:r w:rsidR="00323520" w:rsidRPr="00323520">
        <w:rPr>
          <w:b/>
          <w:bCs/>
          <w:iCs/>
        </w:rPr>
        <w:t>не позднее 13.08.2020</w:t>
      </w:r>
      <w:r w:rsidR="00A45C5C" w:rsidRPr="00323520">
        <w:rPr>
          <w:b/>
          <w:bCs/>
          <w:iCs/>
        </w:rPr>
        <w:t xml:space="preserve"> года.</w:t>
      </w:r>
      <w:bookmarkEnd w:id="0"/>
    </w:p>
    <w:tbl>
      <w:tblPr>
        <w:tblW w:w="53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417"/>
        <w:gridCol w:w="1112"/>
        <w:gridCol w:w="690"/>
        <w:gridCol w:w="1294"/>
        <w:gridCol w:w="638"/>
        <w:gridCol w:w="742"/>
      </w:tblGrid>
      <w:tr w:rsidR="00EF2BDB" w:rsidRPr="000C0F42" w:rsidTr="00B56EDB">
        <w:trPr>
          <w:trHeight w:val="541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B3" w:rsidRPr="00E52751" w:rsidRDefault="002460B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Наименование изделий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B3" w:rsidRPr="00E52751" w:rsidRDefault="002460B3" w:rsidP="009172D9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Функциональные</w:t>
            </w:r>
          </w:p>
          <w:p w:rsidR="002460B3" w:rsidRPr="00E52751" w:rsidRDefault="002460B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характеристики</w:t>
            </w:r>
          </w:p>
          <w:p w:rsidR="002460B3" w:rsidRPr="00E52751" w:rsidRDefault="002460B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изделий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B3" w:rsidRPr="00E52751" w:rsidRDefault="002460B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Цена  за единицу (руб.)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B3" w:rsidRPr="00E52751" w:rsidRDefault="002460B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Кол-во, (шт.)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B3" w:rsidRPr="00E52751" w:rsidRDefault="002460B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Суммарная стоимость, (руб.)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B3" w:rsidRPr="00E52751" w:rsidRDefault="002460B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Срок гарантии не менее  (месяцев)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B3" w:rsidRDefault="002460B3" w:rsidP="002460B3">
            <w:pPr>
              <w:rPr>
                <w:sz w:val="20"/>
                <w:szCs w:val="20"/>
              </w:rPr>
            </w:pPr>
          </w:p>
          <w:p w:rsidR="00EF2BDB" w:rsidRDefault="002460B3" w:rsidP="002460B3">
            <w:pPr>
              <w:jc w:val="center"/>
              <w:rPr>
                <w:sz w:val="20"/>
                <w:szCs w:val="20"/>
              </w:rPr>
            </w:pPr>
            <w:r w:rsidRPr="002460B3">
              <w:rPr>
                <w:sz w:val="20"/>
                <w:szCs w:val="20"/>
              </w:rPr>
              <w:t xml:space="preserve">Срок </w:t>
            </w:r>
            <w:proofErr w:type="spellStart"/>
            <w:r w:rsidRPr="002460B3">
              <w:rPr>
                <w:sz w:val="20"/>
                <w:szCs w:val="20"/>
              </w:rPr>
              <w:t>служ</w:t>
            </w:r>
            <w:proofErr w:type="spellEnd"/>
          </w:p>
          <w:p w:rsidR="002460B3" w:rsidRPr="002460B3" w:rsidRDefault="002460B3" w:rsidP="002460B3">
            <w:pPr>
              <w:jc w:val="center"/>
              <w:rPr>
                <w:sz w:val="20"/>
                <w:szCs w:val="20"/>
              </w:rPr>
            </w:pPr>
            <w:r w:rsidRPr="002460B3">
              <w:rPr>
                <w:sz w:val="20"/>
                <w:szCs w:val="20"/>
              </w:rPr>
              <w:t>бы</w:t>
            </w:r>
          </w:p>
          <w:p w:rsidR="002460B3" w:rsidRPr="002460B3" w:rsidRDefault="002460B3" w:rsidP="002460B3">
            <w:pPr>
              <w:jc w:val="center"/>
              <w:rPr>
                <w:sz w:val="20"/>
                <w:szCs w:val="20"/>
              </w:rPr>
            </w:pPr>
            <w:proofErr w:type="gramStart"/>
            <w:r w:rsidRPr="002460B3">
              <w:rPr>
                <w:sz w:val="20"/>
                <w:szCs w:val="20"/>
              </w:rPr>
              <w:t>(не менее,</w:t>
            </w:r>
            <w:proofErr w:type="gramEnd"/>
          </w:p>
          <w:p w:rsidR="002460B3" w:rsidRPr="002460B3" w:rsidRDefault="002460B3" w:rsidP="002460B3">
            <w:pPr>
              <w:jc w:val="center"/>
              <w:rPr>
                <w:sz w:val="20"/>
                <w:szCs w:val="20"/>
              </w:rPr>
            </w:pPr>
            <w:r w:rsidRPr="002460B3">
              <w:rPr>
                <w:sz w:val="20"/>
                <w:szCs w:val="20"/>
              </w:rPr>
              <w:t>месяцев)</w:t>
            </w:r>
          </w:p>
        </w:tc>
      </w:tr>
      <w:tr w:rsidR="00EF2BDB" w:rsidRPr="000C0F42" w:rsidTr="00B56EDB">
        <w:trPr>
          <w:trHeight w:val="541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3" w:rsidRPr="002460B3" w:rsidRDefault="00EF2BDB" w:rsidP="003A0343">
            <w:pPr>
              <w:rPr>
                <w:color w:val="FF0000"/>
              </w:rPr>
            </w:pPr>
            <w:r w:rsidRPr="002460B3">
              <w:t>Протез бедра модульный, в том числе при врожденном недоразвитии</w:t>
            </w:r>
            <w:r>
              <w:t xml:space="preserve"> </w:t>
            </w:r>
          </w:p>
          <w:p w:rsidR="00EF2BDB" w:rsidRPr="002460B3" w:rsidRDefault="00EF2BDB" w:rsidP="00EF2BDB">
            <w:pPr>
              <w:rPr>
                <w:color w:val="FF000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B56EDB" w:rsidRDefault="00EF2BDB" w:rsidP="00EF2BDB">
            <w:pPr>
              <w:jc w:val="both"/>
              <w:rPr>
                <w:color w:val="FF0000"/>
              </w:rPr>
            </w:pPr>
            <w:r w:rsidRPr="00B56EDB">
              <w:rPr>
                <w:bCs/>
              </w:rPr>
              <w:t>Протез бедра модульный,</w:t>
            </w:r>
            <w:r w:rsidRPr="00B56EDB">
              <w:t xml:space="preserve"> в том числе при врожденном недоразвитии</w:t>
            </w:r>
            <w:r w:rsidRPr="00B56EDB">
              <w:rPr>
                <w:bCs/>
              </w:rPr>
              <w:t xml:space="preserve"> </w:t>
            </w:r>
            <w:r w:rsidR="003A0343" w:rsidRPr="001F4689">
              <w:rPr>
                <w:color w:val="000000"/>
              </w:rPr>
              <w:t>(шифр, страна происхождения)</w:t>
            </w:r>
            <w:r w:rsidR="003A0343">
              <w:rPr>
                <w:color w:val="000000"/>
              </w:rPr>
              <w:t xml:space="preserve"> </w:t>
            </w:r>
            <w:r w:rsidRPr="00B56EDB">
              <w:rPr>
                <w:bCs/>
              </w:rPr>
              <w:t>должен быть с комплектующими ОТТО БОК</w:t>
            </w:r>
            <w:proofErr w:type="gramStart"/>
            <w:r w:rsidRPr="00B56EDB">
              <w:rPr>
                <w:bCs/>
              </w:rPr>
              <w:t>К(</w:t>
            </w:r>
            <w:proofErr w:type="gramEnd"/>
            <w:r w:rsidRPr="00B56EDB">
              <w:rPr>
                <w:bCs/>
              </w:rPr>
              <w:t>или эквивалент) с несущей  приемной   гильзой индивидуального изготовления по слепку из слоистого пластика с полимерным лайнером. Одноосный механический коленный модуль должен быть с коленным шарниром</w:t>
            </w:r>
            <w:r w:rsidR="003A0343">
              <w:rPr>
                <w:bCs/>
              </w:rPr>
              <w:t xml:space="preserve"> </w:t>
            </w:r>
            <w:r w:rsidR="003A0343" w:rsidRPr="001F4689">
              <w:rPr>
                <w:lang w:eastAsia="ar-SA"/>
              </w:rPr>
              <w:t xml:space="preserve">(шифр, артикул, производитель) </w:t>
            </w:r>
            <w:r w:rsidRPr="00B56EDB">
              <w:rPr>
                <w:bCs/>
              </w:rPr>
              <w:t xml:space="preserve">и возможностью регулирования скорости ходьбы, с активным механизмом обеспечения </w:t>
            </w:r>
            <w:proofErr w:type="spellStart"/>
            <w:r w:rsidRPr="00B56EDB">
              <w:rPr>
                <w:bCs/>
              </w:rPr>
              <w:t>подкосоустойчивости</w:t>
            </w:r>
            <w:proofErr w:type="spellEnd"/>
            <w:r w:rsidRPr="00B56EDB">
              <w:rPr>
                <w:bCs/>
              </w:rPr>
              <w:t xml:space="preserve">, </w:t>
            </w:r>
            <w:proofErr w:type="spellStart"/>
            <w:r w:rsidRPr="00B56EDB">
              <w:rPr>
                <w:bCs/>
              </w:rPr>
              <w:t>отключающимся</w:t>
            </w:r>
            <w:proofErr w:type="spellEnd"/>
            <w:r w:rsidRPr="00B56EDB">
              <w:rPr>
                <w:bCs/>
              </w:rPr>
              <w:t xml:space="preserve"> при переходе на передний отдел</w:t>
            </w:r>
            <w:r w:rsidR="007F79DA">
              <w:rPr>
                <w:bCs/>
              </w:rPr>
              <w:t xml:space="preserve"> </w:t>
            </w:r>
            <w:r w:rsidRPr="00B56EDB">
              <w:rPr>
                <w:bCs/>
              </w:rPr>
              <w:t xml:space="preserve">стопы. </w:t>
            </w:r>
            <w:proofErr w:type="spellStart"/>
            <w:r w:rsidRPr="00B56EDB">
              <w:rPr>
                <w:bCs/>
              </w:rPr>
              <w:t>Углепластиковая</w:t>
            </w:r>
            <w:proofErr w:type="spellEnd"/>
            <w:r w:rsidRPr="00B56EDB">
              <w:rPr>
                <w:bCs/>
              </w:rPr>
              <w:t xml:space="preserve"> стопа</w:t>
            </w:r>
            <w:r w:rsidR="00A62F30">
              <w:rPr>
                <w:bCs/>
              </w:rPr>
              <w:t xml:space="preserve"> </w:t>
            </w:r>
            <w:r w:rsidR="00A62F30" w:rsidRPr="001F4689">
              <w:rPr>
                <w:lang w:eastAsia="ar-SA"/>
              </w:rPr>
              <w:t xml:space="preserve">(шифр, артикул, производитель) </w:t>
            </w:r>
            <w:r w:rsidRPr="00B56EDB">
              <w:rPr>
                <w:bCs/>
              </w:rPr>
              <w:t>должна быть со средним уровнем энергосбережения для инвалида со средним и повышенным уровнем двигательной активности. Полуфабрикаты – титан на нагрузку не менее 125 кг. Косметическая облицовка должна быть модульная-</w:t>
            </w:r>
            <w:proofErr w:type="spellStart"/>
            <w:r w:rsidRPr="00B56EDB">
              <w:rPr>
                <w:bCs/>
              </w:rPr>
              <w:t>пенополиуретан</w:t>
            </w:r>
            <w:proofErr w:type="spellEnd"/>
            <w:r w:rsidRPr="00B56EDB">
              <w:rPr>
                <w:bCs/>
              </w:rPr>
              <w:t>. Крепление должно быть за счет замкового устройства для полимерных чехлов;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B56EDB" w:rsidRDefault="00EF2BDB" w:rsidP="00EF2BDB">
            <w:pPr>
              <w:jc w:val="center"/>
              <w:rPr>
                <w:sz w:val="18"/>
                <w:szCs w:val="18"/>
              </w:rPr>
            </w:pPr>
            <w:r w:rsidRPr="00B56EDB">
              <w:rPr>
                <w:sz w:val="18"/>
                <w:szCs w:val="18"/>
              </w:rPr>
              <w:t>663 858,00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3A4C34" w:rsidRDefault="00EF2BDB" w:rsidP="00EF2BD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3A4C34" w:rsidRDefault="00EF2BDB" w:rsidP="00EF2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663 858,00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CB5086" w:rsidRDefault="00EF2BDB" w:rsidP="00EF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CB5086" w:rsidRDefault="00EF2BDB" w:rsidP="00EF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F2BDB" w:rsidRPr="000C0F42" w:rsidTr="00B56EDB">
        <w:trPr>
          <w:trHeight w:val="8012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30" w:rsidRPr="000C0F42" w:rsidRDefault="00EF2BDB" w:rsidP="00A62F30">
            <w:pPr>
              <w:rPr>
                <w:color w:val="FF0000"/>
                <w:sz w:val="20"/>
                <w:szCs w:val="20"/>
              </w:rPr>
            </w:pPr>
            <w:r>
              <w:lastRenderedPageBreak/>
              <w:t xml:space="preserve">Протез бедра для купания </w:t>
            </w:r>
          </w:p>
          <w:p w:rsidR="00EF2BDB" w:rsidRPr="000C0F42" w:rsidRDefault="00EF2BDB" w:rsidP="00EF2B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B" w:rsidRPr="00B56EDB" w:rsidRDefault="00EF2BDB" w:rsidP="00B56EDB">
            <w:pPr>
              <w:rPr>
                <w:color w:val="FF0000"/>
              </w:rPr>
            </w:pPr>
            <w:r w:rsidRPr="00A62F30">
              <w:rPr>
                <w:bCs/>
              </w:rPr>
              <w:t xml:space="preserve">Протез бедра для купания </w:t>
            </w:r>
            <w:r w:rsidR="00A62F30" w:rsidRPr="00A62F30">
              <w:t>(шифр, страна происхождения)</w:t>
            </w:r>
            <w:r w:rsidR="00C824C7">
              <w:t xml:space="preserve"> </w:t>
            </w:r>
            <w:r w:rsidRPr="00A62F30">
              <w:rPr>
                <w:bCs/>
              </w:rPr>
              <w:t>должен быть с несущей приемной гильзой из антисептического</w:t>
            </w:r>
            <w:r w:rsidRPr="00B56EDB">
              <w:rPr>
                <w:bCs/>
              </w:rPr>
              <w:t xml:space="preserve"> материала с полимерным чехлом, индивидуального изготовления по слепку, с пластиковым механическим одноосным  коленным шарниром</w:t>
            </w:r>
            <w:r w:rsidR="00C824C7">
              <w:rPr>
                <w:bCs/>
              </w:rPr>
              <w:t xml:space="preserve"> </w:t>
            </w:r>
            <w:r w:rsidR="00C824C7" w:rsidRPr="001F4689">
              <w:rPr>
                <w:lang w:eastAsia="ar-SA"/>
              </w:rPr>
              <w:t>(шифр, артикул, производитель)</w:t>
            </w:r>
            <w:r w:rsidRPr="00B56EDB">
              <w:rPr>
                <w:bCs/>
              </w:rPr>
              <w:t>, механическим замком,  возможностью  вертикальной  нагрузки до 100 кг</w:t>
            </w:r>
            <w:proofErr w:type="gramStart"/>
            <w:r w:rsidRPr="00B56EDB">
              <w:rPr>
                <w:bCs/>
              </w:rPr>
              <w:t xml:space="preserve">., </w:t>
            </w:r>
            <w:proofErr w:type="gramEnd"/>
            <w:r w:rsidRPr="00B56EDB">
              <w:rPr>
                <w:bCs/>
              </w:rPr>
              <w:t xml:space="preserve">влагозащитный. Стопа </w:t>
            </w:r>
            <w:r w:rsidR="00C824C7" w:rsidRPr="001F4689">
              <w:rPr>
                <w:lang w:eastAsia="ar-SA"/>
              </w:rPr>
              <w:t>(шифр, артикул, производитель</w:t>
            </w:r>
            <w:proofErr w:type="gramStart"/>
            <w:r w:rsidR="00C824C7" w:rsidRPr="001F4689">
              <w:rPr>
                <w:lang w:eastAsia="ar-SA"/>
              </w:rPr>
              <w:t>)</w:t>
            </w:r>
            <w:r w:rsidRPr="00B56EDB">
              <w:rPr>
                <w:bCs/>
              </w:rPr>
              <w:t>д</w:t>
            </w:r>
            <w:proofErr w:type="gramEnd"/>
            <w:r w:rsidRPr="00B56EDB">
              <w:rPr>
                <w:bCs/>
              </w:rPr>
              <w:t xml:space="preserve">олжна быть </w:t>
            </w:r>
            <w:proofErr w:type="spellStart"/>
            <w:r w:rsidRPr="00B56EDB">
              <w:rPr>
                <w:bCs/>
              </w:rPr>
              <w:t>безшарнирная</w:t>
            </w:r>
            <w:proofErr w:type="spellEnd"/>
            <w:r w:rsidRPr="00B56EDB">
              <w:rPr>
                <w:bCs/>
              </w:rPr>
              <w:t>, влагозащищенная, для инвалида с низким и повышенным  уровнем двигательной активности. Полуфабрикаты и РСУ должны быть из влагозащищенных материалов на нагрузку до 100 кг. Косметической облицовки не должно быть. Крепление должно быть замковым устройством для полимерных чехлов</w:t>
            </w:r>
            <w:r w:rsidR="00B56EDB" w:rsidRPr="00B56EDB">
              <w:rPr>
                <w:bCs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B56EDB" w:rsidRDefault="00EF2BDB" w:rsidP="00EF2BDB">
            <w:pPr>
              <w:jc w:val="center"/>
              <w:rPr>
                <w:sz w:val="18"/>
                <w:szCs w:val="18"/>
              </w:rPr>
            </w:pPr>
            <w:r w:rsidRPr="00B56EDB">
              <w:rPr>
                <w:sz w:val="18"/>
                <w:szCs w:val="18"/>
              </w:rPr>
              <w:t>478 400,50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3A4C34" w:rsidRDefault="00EF2BDB" w:rsidP="00EF2BD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3A4C34" w:rsidRDefault="00EF2BDB" w:rsidP="00EF2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478 400,50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CB5086" w:rsidRDefault="00EF2BDB" w:rsidP="00EF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CB5086" w:rsidRDefault="00EF2BDB" w:rsidP="00EF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F2BDB" w:rsidRPr="000C0F42" w:rsidTr="00B56EDB">
        <w:trPr>
          <w:trHeight w:val="194"/>
        </w:trPr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DC0C7B" w:rsidRDefault="00EF2BDB" w:rsidP="00EF2B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C0C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DC0C7B" w:rsidRDefault="00EF2BDB" w:rsidP="00EF2BD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DC0C7B" w:rsidRDefault="00DC0C7B" w:rsidP="00EF2BDB">
            <w:pPr>
              <w:jc w:val="center"/>
              <w:rPr>
                <w:b/>
                <w:sz w:val="18"/>
                <w:szCs w:val="18"/>
              </w:rPr>
            </w:pPr>
            <w:r w:rsidRPr="00DC0C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DC0C7B" w:rsidRDefault="00EF2BDB" w:rsidP="00EF2BDB">
            <w:pPr>
              <w:jc w:val="center"/>
              <w:rPr>
                <w:b/>
                <w:sz w:val="18"/>
                <w:szCs w:val="18"/>
              </w:rPr>
            </w:pPr>
            <w:r w:rsidRPr="00DC0C7B">
              <w:rPr>
                <w:b/>
                <w:bCs/>
                <w:sz w:val="18"/>
                <w:szCs w:val="18"/>
              </w:rPr>
              <w:t>1 142 258,50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DB" w:rsidRPr="000C0F42" w:rsidRDefault="00EF2BDB" w:rsidP="00EF2B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B" w:rsidRPr="000C0F42" w:rsidRDefault="00EF2BDB" w:rsidP="00EF2B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C3A74" w:rsidRPr="000C0F42" w:rsidRDefault="00EC3A74" w:rsidP="00783542">
      <w:pPr>
        <w:pStyle w:val="a5"/>
        <w:ind w:left="-142" w:right="-1"/>
        <w:jc w:val="both"/>
        <w:rPr>
          <w:b w:val="0"/>
          <w:bCs/>
          <w:color w:val="FF0000"/>
          <w:sz w:val="24"/>
          <w:szCs w:val="24"/>
          <w:lang w:eastAsia="en-US"/>
        </w:rPr>
      </w:pPr>
    </w:p>
    <w:sectPr w:rsidR="00EC3A74" w:rsidRPr="000C0F42" w:rsidSect="001B04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B"/>
    <w:rsid w:val="0001442C"/>
    <w:rsid w:val="000802A5"/>
    <w:rsid w:val="0008064E"/>
    <w:rsid w:val="0008360D"/>
    <w:rsid w:val="00095D84"/>
    <w:rsid w:val="000C0F42"/>
    <w:rsid w:val="000E0E19"/>
    <w:rsid w:val="000F6DE8"/>
    <w:rsid w:val="001031C3"/>
    <w:rsid w:val="001432D1"/>
    <w:rsid w:val="00162A58"/>
    <w:rsid w:val="001A0A73"/>
    <w:rsid w:val="001B04F3"/>
    <w:rsid w:val="001C6823"/>
    <w:rsid w:val="001E60BE"/>
    <w:rsid w:val="001F7464"/>
    <w:rsid w:val="001F777D"/>
    <w:rsid w:val="002460B3"/>
    <w:rsid w:val="002552CB"/>
    <w:rsid w:val="002736E9"/>
    <w:rsid w:val="00291B4E"/>
    <w:rsid w:val="002A002E"/>
    <w:rsid w:val="002A5850"/>
    <w:rsid w:val="002E5CDD"/>
    <w:rsid w:val="002E71FA"/>
    <w:rsid w:val="002F5E14"/>
    <w:rsid w:val="00323520"/>
    <w:rsid w:val="00324BB7"/>
    <w:rsid w:val="00337FDB"/>
    <w:rsid w:val="00346E2B"/>
    <w:rsid w:val="00361652"/>
    <w:rsid w:val="00366B88"/>
    <w:rsid w:val="00381C74"/>
    <w:rsid w:val="003A0343"/>
    <w:rsid w:val="003A45B3"/>
    <w:rsid w:val="003F390B"/>
    <w:rsid w:val="00430FF1"/>
    <w:rsid w:val="00443722"/>
    <w:rsid w:val="00493504"/>
    <w:rsid w:val="004B696A"/>
    <w:rsid w:val="004C3F14"/>
    <w:rsid w:val="00525D22"/>
    <w:rsid w:val="00534CDD"/>
    <w:rsid w:val="00580D60"/>
    <w:rsid w:val="005B05F1"/>
    <w:rsid w:val="006E0B0C"/>
    <w:rsid w:val="006F31C6"/>
    <w:rsid w:val="007036F4"/>
    <w:rsid w:val="00720E34"/>
    <w:rsid w:val="00723168"/>
    <w:rsid w:val="00733E28"/>
    <w:rsid w:val="007428A0"/>
    <w:rsid w:val="007736B9"/>
    <w:rsid w:val="00783542"/>
    <w:rsid w:val="00784883"/>
    <w:rsid w:val="007A3354"/>
    <w:rsid w:val="007C3B66"/>
    <w:rsid w:val="007D66C6"/>
    <w:rsid w:val="007E5070"/>
    <w:rsid w:val="007F79DA"/>
    <w:rsid w:val="00837F3E"/>
    <w:rsid w:val="008414BC"/>
    <w:rsid w:val="00890FE8"/>
    <w:rsid w:val="008C6B9A"/>
    <w:rsid w:val="008E4658"/>
    <w:rsid w:val="008E56F0"/>
    <w:rsid w:val="008F4149"/>
    <w:rsid w:val="009172D9"/>
    <w:rsid w:val="00936D8F"/>
    <w:rsid w:val="00A133D6"/>
    <w:rsid w:val="00A15540"/>
    <w:rsid w:val="00A27DE2"/>
    <w:rsid w:val="00A43D21"/>
    <w:rsid w:val="00A45C5C"/>
    <w:rsid w:val="00A565CF"/>
    <w:rsid w:val="00A62F30"/>
    <w:rsid w:val="00A772BE"/>
    <w:rsid w:val="00A8777B"/>
    <w:rsid w:val="00AC3CC4"/>
    <w:rsid w:val="00AF3B28"/>
    <w:rsid w:val="00B56EDB"/>
    <w:rsid w:val="00B93484"/>
    <w:rsid w:val="00B9547A"/>
    <w:rsid w:val="00B968E5"/>
    <w:rsid w:val="00BA1B53"/>
    <w:rsid w:val="00BB47C4"/>
    <w:rsid w:val="00BB7437"/>
    <w:rsid w:val="00C0371E"/>
    <w:rsid w:val="00C14ED8"/>
    <w:rsid w:val="00C21B89"/>
    <w:rsid w:val="00C42751"/>
    <w:rsid w:val="00C824C7"/>
    <w:rsid w:val="00CB5086"/>
    <w:rsid w:val="00CE0CAD"/>
    <w:rsid w:val="00D642D9"/>
    <w:rsid w:val="00D95546"/>
    <w:rsid w:val="00DC0C7B"/>
    <w:rsid w:val="00DF4E71"/>
    <w:rsid w:val="00E11629"/>
    <w:rsid w:val="00E14833"/>
    <w:rsid w:val="00E156A1"/>
    <w:rsid w:val="00E509B3"/>
    <w:rsid w:val="00E52751"/>
    <w:rsid w:val="00E952DA"/>
    <w:rsid w:val="00EB782D"/>
    <w:rsid w:val="00EC3A74"/>
    <w:rsid w:val="00EC49D7"/>
    <w:rsid w:val="00EF2BDB"/>
    <w:rsid w:val="00F63832"/>
    <w:rsid w:val="00F66FA5"/>
    <w:rsid w:val="00FA00CC"/>
    <w:rsid w:val="00FA15D5"/>
    <w:rsid w:val="00FC39E2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Юсупова Светлана Владимировна</cp:lastModifiedBy>
  <cp:revision>11</cp:revision>
  <cp:lastPrinted>2020-03-06T13:47:00Z</cp:lastPrinted>
  <dcterms:created xsi:type="dcterms:W3CDTF">2020-01-29T06:25:00Z</dcterms:created>
  <dcterms:modified xsi:type="dcterms:W3CDTF">2020-03-06T13:48:00Z</dcterms:modified>
</cp:coreProperties>
</file>