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4" w:rsidRDefault="00144F54" w:rsidP="00144F54">
      <w:pPr>
        <w:pageBreakBefore/>
        <w:spacing w:line="100" w:lineRule="atLeast"/>
        <w:jc w:val="center"/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</w:t>
      </w:r>
      <w:r w:rsidRPr="00A64D5C">
        <w:rPr>
          <w:b/>
          <w:bCs/>
          <w:color w:val="000000"/>
          <w:spacing w:val="-1"/>
          <w:sz w:val="22"/>
          <w:szCs w:val="22"/>
        </w:rPr>
        <w:t>Выполнение работ по обеспечению в 2020 году застрахованного лица, пострадавшего в результате несчастного случая на производстве протезом предплеч</w:t>
      </w:r>
      <w:r>
        <w:rPr>
          <w:b/>
          <w:bCs/>
          <w:color w:val="000000"/>
          <w:spacing w:val="-1"/>
          <w:sz w:val="22"/>
          <w:szCs w:val="22"/>
        </w:rPr>
        <w:t>ья с внешним источником энергии</w:t>
      </w:r>
    </w:p>
    <w:tbl>
      <w:tblPr>
        <w:tblW w:w="108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5"/>
        <w:gridCol w:w="6877"/>
        <w:gridCol w:w="1505"/>
      </w:tblGrid>
      <w:tr w:rsidR="00144F54" w:rsidTr="005A4617">
        <w:trPr>
          <w:jc w:val="center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F54" w:rsidRDefault="00144F54" w:rsidP="005A46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F54" w:rsidRDefault="00144F54" w:rsidP="005A46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F54" w:rsidRDefault="00144F54" w:rsidP="005A46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во, шт.</w:t>
            </w:r>
          </w:p>
        </w:tc>
      </w:tr>
      <w:tr w:rsidR="00144F54" w:rsidTr="005A4617">
        <w:trPr>
          <w:jc w:val="center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4" w:rsidRDefault="00144F54" w:rsidP="005A4617">
            <w:pPr>
              <w:pStyle w:val="a4"/>
              <w:widowControl/>
              <w:snapToGrid w:val="0"/>
              <w:spacing w:after="0" w:line="240" w:lineRule="atLeast"/>
              <w:ind w:left="36" w:hanging="36"/>
              <w:rPr>
                <w:rFonts w:eastAsia="Times New Roman"/>
                <w:sz w:val="20"/>
                <w:szCs w:val="20"/>
              </w:rPr>
            </w:pPr>
            <w:r w:rsidRPr="000F01B7">
              <w:rPr>
                <w:rFonts w:eastAsia="Times New Roman"/>
                <w:sz w:val="20"/>
                <w:szCs w:val="20"/>
              </w:rPr>
              <w:t>Протез предплечья с внешним источником энергии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F54" w:rsidRDefault="00144F54" w:rsidP="005A4617">
            <w:pPr>
              <w:snapToGrid w:val="0"/>
              <w:jc w:val="both"/>
              <w:rPr>
                <w:sz w:val="20"/>
                <w:szCs w:val="20"/>
              </w:rPr>
            </w:pPr>
            <w:r w:rsidRPr="000F01B7">
              <w:rPr>
                <w:sz w:val="20"/>
                <w:szCs w:val="20"/>
              </w:rPr>
              <w:t xml:space="preserve">Протез предплечья с внешним источником энергии. Должен быть постоянный. Должен подходить для культей после ампутации или недоразвития на уровне предплечья. Примерочная гильза должна быть из термопласта, постоянная из слоистого пластика с применением литьевых смол. Кабели электродов и кабель соединения с аккумулятором внутри несущей гильзы и должен соединяться с кистью. Кисть должна предоставлять возможность управлять четырьмя подвижными и независимо позиционируемым большим пальцами посредством мышечных сигналов. Приводной механизм большого пальца должен делать возможным в общей сложности не менее 7 различных позиций кисти. Движение пальца наружу должно создавать возможность для полного распрямления кисти. В качестве источника энергии должен применяться заряжаемый аккумулятор, состоящий из не менее 3-х литиево-ионных элементов. Протез должен комплектоваться двумя косметическими оболочками и зарядным устройством для аккумулятора. Технические характеристики </w:t>
            </w:r>
            <w:proofErr w:type="spellStart"/>
            <w:r w:rsidRPr="000F01B7">
              <w:rPr>
                <w:sz w:val="20"/>
                <w:szCs w:val="20"/>
              </w:rPr>
              <w:t>электрокисти</w:t>
            </w:r>
            <w:proofErr w:type="spellEnd"/>
            <w:r w:rsidRPr="000F01B7">
              <w:rPr>
                <w:sz w:val="20"/>
                <w:szCs w:val="20"/>
              </w:rPr>
              <w:t xml:space="preserve">: рабочее напряжение не менее 11,1 В, ширина раскрытия не менее 120 мм, вес не более 420г. Технические характеристики литиево-ионного аккумулятора: емкость не менее 1150 </w:t>
            </w:r>
            <w:proofErr w:type="spellStart"/>
            <w:r w:rsidRPr="000F01B7">
              <w:rPr>
                <w:sz w:val="20"/>
                <w:szCs w:val="20"/>
              </w:rPr>
              <w:t>мАч</w:t>
            </w:r>
            <w:proofErr w:type="spellEnd"/>
            <w:r w:rsidRPr="000F01B7">
              <w:rPr>
                <w:sz w:val="20"/>
                <w:szCs w:val="20"/>
              </w:rPr>
              <w:t>, время до полной зарядки не более 3,5 часа, масса не более 90г.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4" w:rsidRDefault="00144F54" w:rsidP="005A461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4F54" w:rsidTr="005A4617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4" w:rsidRDefault="00144F54" w:rsidP="005A461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4" w:rsidRDefault="00144F54" w:rsidP="005A4617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</w:tbl>
    <w:p w:rsidR="00144F54" w:rsidRDefault="00144F54" w:rsidP="00144F54">
      <w:pPr>
        <w:spacing w:line="200" w:lineRule="atLeast"/>
        <w:ind w:firstLine="709"/>
        <w:jc w:val="center"/>
      </w:pP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 xml:space="preserve">Качество протеза предплечья с внешним источником энергии должно быть подтверждено декларацией о соответствии, выданной в соответствии с действующим законодательством Российской Федерации. 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</w:p>
    <w:p w:rsidR="00144F54" w:rsidRPr="00BB0984" w:rsidRDefault="00144F54" w:rsidP="00144F54">
      <w:pPr>
        <w:widowControl/>
        <w:ind w:left="-10" w:firstLine="569"/>
        <w:jc w:val="center"/>
        <w:rPr>
          <w:rFonts w:eastAsia="Times New Roman"/>
          <w:b/>
          <w:color w:val="000000"/>
          <w:spacing w:val="-4"/>
          <w:sz w:val="22"/>
          <w:szCs w:val="22"/>
        </w:rPr>
      </w:pPr>
      <w:r w:rsidRPr="00BB0984">
        <w:rPr>
          <w:rFonts w:eastAsia="Times New Roman"/>
          <w:b/>
          <w:color w:val="000000"/>
          <w:spacing w:val="-4"/>
          <w:sz w:val="22"/>
          <w:szCs w:val="22"/>
        </w:rPr>
        <w:t>Требования к качеству работ: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 xml:space="preserve">Протез предплечья с внешним источником энергии должен соответствовать требованиям Национального стандарта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51632-2014 «Технические средства реабилитации людей с ограничениями жизнедеятельности. Общие технические требования и методы испытаний» (утв. приказом Федерального агентства по техническому регулированию и метрологии от 15 октября 2014 г. № 1331-ст); ГОСТ Р ИСО 22523-2007 «Протезы конечностей и </w:t>
      </w:r>
      <w:proofErr w:type="spellStart"/>
      <w:r w:rsidRPr="003F063F">
        <w:rPr>
          <w:rFonts w:eastAsia="Times New Roman"/>
          <w:color w:val="000000"/>
          <w:spacing w:val="-4"/>
          <w:sz w:val="22"/>
          <w:szCs w:val="22"/>
        </w:rPr>
        <w:t>ортезы</w:t>
      </w:r>
      <w:proofErr w:type="spellEnd"/>
      <w:r w:rsidRPr="003F063F">
        <w:rPr>
          <w:rFonts w:eastAsia="Times New Roman"/>
          <w:color w:val="000000"/>
          <w:spacing w:val="-4"/>
          <w:sz w:val="22"/>
          <w:szCs w:val="22"/>
        </w:rPr>
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 Межгосударственный стандарт ГОСТ ISO 10993-1-2011 "Изделия медицинские. Оценка биологического действия медицинских изделий. Часть 1. Оценка и исследования";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F063F">
        <w:rPr>
          <w:rFonts w:eastAsia="Times New Roman"/>
          <w:color w:val="000000"/>
          <w:spacing w:val="-4"/>
          <w:sz w:val="22"/>
          <w:szCs w:val="22"/>
        </w:rPr>
        <w:t>цитотоксичность</w:t>
      </w:r>
      <w:proofErr w:type="spellEnd"/>
      <w:r w:rsidRPr="003F063F">
        <w:rPr>
          <w:rFonts w:eastAsia="Times New Roman"/>
          <w:color w:val="000000"/>
          <w:spacing w:val="-4"/>
          <w:sz w:val="22"/>
          <w:szCs w:val="22"/>
        </w:rPr>
        <w:t xml:space="preserve">: методы </w:t>
      </w:r>
      <w:proofErr w:type="spellStart"/>
      <w:r w:rsidRPr="003F063F">
        <w:rPr>
          <w:rFonts w:eastAsia="Times New Roman"/>
          <w:color w:val="000000"/>
          <w:spacing w:val="-4"/>
          <w:sz w:val="22"/>
          <w:szCs w:val="22"/>
        </w:rPr>
        <w:t>in</w:t>
      </w:r>
      <w:proofErr w:type="spellEnd"/>
      <w:r w:rsidRPr="003F063F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3F063F">
        <w:rPr>
          <w:rFonts w:eastAsia="Times New Roman"/>
          <w:color w:val="000000"/>
          <w:spacing w:val="-4"/>
          <w:sz w:val="22"/>
          <w:szCs w:val="22"/>
        </w:rPr>
        <w:t>vitro</w:t>
      </w:r>
      <w:proofErr w:type="spellEnd"/>
      <w:r w:rsidRPr="003F063F">
        <w:rPr>
          <w:rFonts w:eastAsia="Times New Roman"/>
          <w:color w:val="000000"/>
          <w:spacing w:val="-4"/>
          <w:sz w:val="22"/>
          <w:szCs w:val="22"/>
        </w:rPr>
        <w:t xml:space="preserve">»; Межгосударственный стандарт ГОСТ ISO 10993-10-2011 "Изделия медицинские. Оценка биологического действия медицинских изделий. Часть 10, Исследования раздражающего и сенсибилизирующего действия". ГОСТ Р 56138-2014 "Протезы верхних конечностей. Технические требования" (утв. и введен в действие Приказом </w:t>
      </w:r>
      <w:proofErr w:type="spellStart"/>
      <w:r w:rsidRPr="003F063F">
        <w:rPr>
          <w:rFonts w:eastAsia="Times New Roman"/>
          <w:color w:val="000000"/>
          <w:spacing w:val="-4"/>
          <w:sz w:val="22"/>
          <w:szCs w:val="22"/>
        </w:rPr>
        <w:t>Росстандарта</w:t>
      </w:r>
      <w:proofErr w:type="spellEnd"/>
      <w:r w:rsidRPr="003F063F">
        <w:rPr>
          <w:rFonts w:eastAsia="Times New Roman"/>
          <w:color w:val="000000"/>
          <w:spacing w:val="-4"/>
          <w:sz w:val="22"/>
          <w:szCs w:val="22"/>
        </w:rPr>
        <w:t xml:space="preserve"> от 22 сентября 2014 г. N 1162-ст) ГОСТ Р 50267.0-92 (МЭК 601-1-88) "Изделия медицинские электрические. Часть 1. Общие требования безопасности".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>Исполнитель должен изготавливать протез, удовлетворяющий следующим требованиям: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>- не должно создаваться угрозы для жизни и здоровья Получателя, окружающей среде, а также использование протезов не должно причинять вред имуществу получателя при его эксплуатации;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>Исполнитель обязан: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>- оборудовать помещение (пункт приема Получателя) необходимыми приспособлениями для замеров и примерки: кушетка, одноразовые пеленки и т.п.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>- организовать в пункте приема беспрепятственный доступ, в соответствии со ст. 15 Федерального закона от 24.11.1995г. № 181-ФЗ «О социальной защите инвалидов в Российской Федерации» (проход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Получателя);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>- произвести индивидуальную подборку и разработку (изготовление) изделия Получателю с учетом его физиологических особенностей;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t xml:space="preserve">- осуществлять прием Получателя в пунктах приема не менее 5 (пяти) дней в неделю, при этом, время работы пункта должно попадать в интервал с 08:00 до 19:00 (не менее 8 часов); </w:t>
      </w:r>
    </w:p>
    <w:p w:rsidR="00144F54" w:rsidRPr="003F063F" w:rsidRDefault="00144F54" w:rsidP="00144F54">
      <w:pPr>
        <w:widowControl/>
        <w:ind w:left="-10" w:firstLine="569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063F">
        <w:rPr>
          <w:rFonts w:eastAsia="Times New Roman"/>
          <w:color w:val="000000"/>
          <w:spacing w:val="-4"/>
          <w:sz w:val="22"/>
          <w:szCs w:val="22"/>
        </w:rPr>
        <w:lastRenderedPageBreak/>
        <w:t>- обеспечить наличие в пунктах приема туалетных комнат, оборудованных для посещения инвалидами, со свободным доступом.</w:t>
      </w:r>
    </w:p>
    <w:p w:rsidR="00144F54" w:rsidRDefault="00144F54" w:rsidP="00144F54">
      <w:pPr>
        <w:widowControl/>
        <w:ind w:left="-10" w:firstLine="569"/>
        <w:jc w:val="both"/>
      </w:pPr>
    </w:p>
    <w:p w:rsidR="00144F54" w:rsidRDefault="00144F54" w:rsidP="00144F54">
      <w:pPr>
        <w:ind w:firstLine="5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Гарантийный срок</w:t>
      </w:r>
      <w:r>
        <w:rPr>
          <w:sz w:val="22"/>
          <w:szCs w:val="22"/>
        </w:rPr>
        <w:t xml:space="preserve"> </w:t>
      </w:r>
      <w:r w:rsidRPr="000F01B7">
        <w:rPr>
          <w:sz w:val="22"/>
          <w:szCs w:val="22"/>
        </w:rPr>
        <w:t>пользования протеза предплечья с внешним источником энергии 12 (</w:t>
      </w:r>
      <w:r>
        <w:rPr>
          <w:sz w:val="22"/>
          <w:szCs w:val="22"/>
        </w:rPr>
        <w:t>Д</w:t>
      </w:r>
      <w:r w:rsidRPr="000F01B7">
        <w:rPr>
          <w:sz w:val="22"/>
          <w:szCs w:val="22"/>
        </w:rPr>
        <w:t>венадцать) месяцев.</w:t>
      </w:r>
    </w:p>
    <w:p w:rsidR="00144F54" w:rsidRDefault="00144F54" w:rsidP="00144F54">
      <w:pPr>
        <w:ind w:firstLine="525"/>
        <w:jc w:val="both"/>
        <w:rPr>
          <w:b/>
          <w:sz w:val="22"/>
          <w:szCs w:val="22"/>
        </w:rPr>
      </w:pPr>
    </w:p>
    <w:p w:rsidR="00144F54" w:rsidRDefault="00144F54" w:rsidP="00144F54">
      <w:pPr>
        <w:ind w:firstLine="525"/>
        <w:jc w:val="both"/>
        <w:rPr>
          <w:sz w:val="22"/>
          <w:szCs w:val="22"/>
        </w:rPr>
      </w:pPr>
      <w:r w:rsidRPr="000F01B7">
        <w:rPr>
          <w:b/>
          <w:sz w:val="22"/>
          <w:szCs w:val="22"/>
        </w:rPr>
        <w:t>Срок пользования</w:t>
      </w:r>
      <w:r>
        <w:rPr>
          <w:sz w:val="22"/>
          <w:szCs w:val="22"/>
        </w:rPr>
        <w:t xml:space="preserve"> </w:t>
      </w:r>
      <w:r w:rsidRPr="000F01B7">
        <w:rPr>
          <w:sz w:val="22"/>
          <w:szCs w:val="22"/>
        </w:rPr>
        <w:t>протеза предплечья с внешним источником энергии не менее 36 (</w:t>
      </w:r>
      <w:r>
        <w:rPr>
          <w:sz w:val="22"/>
          <w:szCs w:val="22"/>
        </w:rPr>
        <w:t>Т</w:t>
      </w:r>
      <w:r w:rsidRPr="000F01B7">
        <w:rPr>
          <w:sz w:val="22"/>
          <w:szCs w:val="22"/>
        </w:rPr>
        <w:t>ридцати шести) месяцев с момента подписания Получателем Накладной о получении результата Работ.</w:t>
      </w:r>
    </w:p>
    <w:p w:rsidR="00144F54" w:rsidRDefault="00144F54" w:rsidP="00144F54">
      <w:pPr>
        <w:widowControl/>
        <w:ind w:left="-10" w:firstLine="569"/>
        <w:jc w:val="both"/>
      </w:pPr>
    </w:p>
    <w:p w:rsidR="00144F54" w:rsidRPr="00144F54" w:rsidRDefault="00144F54" w:rsidP="00144F54">
      <w:pPr>
        <w:ind w:firstLine="559"/>
        <w:jc w:val="both"/>
        <w:rPr>
          <w:rStyle w:val="a3"/>
          <w:color w:val="000000"/>
          <w:spacing w:val="-1"/>
          <w:sz w:val="22"/>
          <w:szCs w:val="22"/>
          <w:u w:val="none"/>
          <w:lang w:eastAsia="en-US" w:bidi="en-US"/>
        </w:rPr>
      </w:pPr>
      <w:bookmarkStart w:id="0" w:name="_GoBack"/>
      <w:r w:rsidRPr="00144F54">
        <w:rPr>
          <w:rStyle w:val="a3"/>
          <w:b/>
          <w:bCs/>
          <w:color w:val="000000"/>
          <w:spacing w:val="-1"/>
          <w:sz w:val="22"/>
          <w:szCs w:val="22"/>
          <w:u w:val="none"/>
          <w:lang w:eastAsia="en-US" w:bidi="en-US"/>
        </w:rPr>
        <w:t xml:space="preserve">Место выполнения работ: </w:t>
      </w:r>
      <w:r w:rsidRPr="00144F54">
        <w:rPr>
          <w:rStyle w:val="a3"/>
          <w:color w:val="000000"/>
          <w:spacing w:val="-1"/>
          <w:sz w:val="22"/>
          <w:szCs w:val="22"/>
          <w:u w:val="none"/>
          <w:lang w:eastAsia="en-US" w:bidi="en-US"/>
        </w:rPr>
        <w:t xml:space="preserve">Российская Федерация, по месту нахождения Исполнителя. Выполнение работ по государственному контракту осуществляется Исполнителем на основании сведений о Получателе, которому филиалом Заказчика выдано Направление на обеспечение протезом предплечья с внешним источником энергии. 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</w:t>
      </w:r>
    </w:p>
    <w:p w:rsidR="00144F54" w:rsidRPr="00144F54" w:rsidRDefault="00144F54" w:rsidP="00144F54">
      <w:pPr>
        <w:ind w:firstLine="559"/>
        <w:jc w:val="both"/>
        <w:rPr>
          <w:rStyle w:val="a3"/>
          <w:color w:val="000000"/>
          <w:spacing w:val="-1"/>
          <w:sz w:val="22"/>
          <w:szCs w:val="22"/>
          <w:u w:val="none"/>
          <w:lang w:eastAsia="en-US" w:bidi="en-US"/>
        </w:rPr>
      </w:pPr>
      <w:r w:rsidRPr="00144F54">
        <w:rPr>
          <w:rStyle w:val="a3"/>
          <w:color w:val="000000"/>
          <w:spacing w:val="-1"/>
          <w:sz w:val="22"/>
          <w:szCs w:val="22"/>
          <w:u w:val="none"/>
          <w:lang w:eastAsia="en-US" w:bidi="en-US"/>
        </w:rPr>
        <w:t xml:space="preserve">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 (т.е. обеспечить проведение замеров, примерку), а также выдачу результата работ (изделия) по месту жительства Получателя. </w:t>
      </w:r>
    </w:p>
    <w:p w:rsidR="00144F54" w:rsidRPr="00144F54" w:rsidRDefault="00144F54" w:rsidP="00144F54">
      <w:pPr>
        <w:ind w:firstLine="559"/>
        <w:jc w:val="both"/>
        <w:rPr>
          <w:rStyle w:val="a3"/>
          <w:color w:val="000000"/>
          <w:spacing w:val="-1"/>
          <w:sz w:val="22"/>
          <w:szCs w:val="22"/>
          <w:u w:val="none"/>
          <w:lang w:eastAsia="en-US" w:bidi="en-US"/>
        </w:rPr>
      </w:pPr>
      <w:r w:rsidRPr="00144F54">
        <w:rPr>
          <w:rStyle w:val="a3"/>
          <w:color w:val="000000"/>
          <w:spacing w:val="-1"/>
          <w:sz w:val="22"/>
          <w:szCs w:val="22"/>
          <w:u w:val="none"/>
          <w:lang w:eastAsia="en-US" w:bidi="en-US"/>
        </w:rPr>
        <w:t>Допускается доставка результатов работ по заявлению Получателя почтой по Иркутской области.</w:t>
      </w:r>
    </w:p>
    <w:p w:rsidR="00144F54" w:rsidRPr="00144F54" w:rsidRDefault="00144F54" w:rsidP="00144F54">
      <w:pPr>
        <w:ind w:firstLine="559"/>
        <w:jc w:val="both"/>
        <w:rPr>
          <w:rStyle w:val="a3"/>
          <w:color w:val="000000"/>
          <w:spacing w:val="-1"/>
          <w:sz w:val="22"/>
          <w:szCs w:val="22"/>
          <w:u w:val="none"/>
          <w:lang w:eastAsia="en-US" w:bidi="en-US"/>
        </w:rPr>
      </w:pPr>
    </w:p>
    <w:p w:rsidR="00144F54" w:rsidRPr="00144F54" w:rsidRDefault="00144F54" w:rsidP="00144F54">
      <w:pPr>
        <w:ind w:firstLine="559"/>
        <w:jc w:val="both"/>
        <w:rPr>
          <w:rStyle w:val="a3"/>
          <w:rFonts w:eastAsia="Times New Roman CYR" w:cs="Times New Roman CYR"/>
          <w:bCs/>
          <w:iCs/>
          <w:color w:val="000000"/>
          <w:spacing w:val="-1"/>
          <w:sz w:val="22"/>
          <w:szCs w:val="22"/>
          <w:u w:val="none"/>
          <w:lang w:eastAsia="en-US" w:bidi="en-US"/>
        </w:rPr>
      </w:pPr>
      <w:r w:rsidRPr="00144F54">
        <w:rPr>
          <w:b/>
          <w:bCs/>
          <w:color w:val="000000"/>
          <w:spacing w:val="-1"/>
          <w:sz w:val="22"/>
          <w:szCs w:val="22"/>
        </w:rPr>
        <w:t>Срок выполнения работ</w:t>
      </w:r>
      <w:r w:rsidRPr="00144F54">
        <w:rPr>
          <w:sz w:val="22"/>
          <w:szCs w:val="22"/>
        </w:rPr>
        <w:t xml:space="preserve">: </w:t>
      </w:r>
      <w:r w:rsidRPr="00144F54">
        <w:rPr>
          <w:rStyle w:val="a3"/>
          <w:rFonts w:eastAsia="Times New Roman CYR" w:cs="Times New Roman CYR"/>
          <w:bCs/>
          <w:iCs/>
          <w:color w:val="000000"/>
          <w:spacing w:val="-1"/>
          <w:sz w:val="22"/>
          <w:szCs w:val="22"/>
          <w:u w:val="none"/>
          <w:lang w:eastAsia="en-US" w:bidi="en-US"/>
        </w:rPr>
        <w:t>в течение 30 (тридцати) календарных дней после обращения Получателя с направлением, выданным филиалом Заказчика, но не позднее 20 ноября 2020 года.</w:t>
      </w:r>
    </w:p>
    <w:p w:rsidR="00144F54" w:rsidRPr="00144F54" w:rsidRDefault="00144F54" w:rsidP="00144F54">
      <w:pPr>
        <w:ind w:firstLine="559"/>
        <w:jc w:val="both"/>
        <w:rPr>
          <w:sz w:val="22"/>
          <w:szCs w:val="22"/>
        </w:rPr>
      </w:pPr>
    </w:p>
    <w:bookmarkEnd w:id="0"/>
    <w:p w:rsidR="006A5BE0" w:rsidRPr="00144F54" w:rsidRDefault="006A5BE0"/>
    <w:sectPr w:rsidR="006A5BE0" w:rsidRPr="00144F54" w:rsidSect="00144F5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4"/>
    <w:rsid w:val="00144F54"/>
    <w:rsid w:val="006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1285-38A2-4DB8-A8D5-92B78EF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F54"/>
    <w:rPr>
      <w:color w:val="0000FF"/>
      <w:u w:val="single"/>
    </w:rPr>
  </w:style>
  <w:style w:type="paragraph" w:styleId="a4">
    <w:name w:val="Body Text"/>
    <w:basedOn w:val="a"/>
    <w:link w:val="a5"/>
    <w:rsid w:val="00144F54"/>
    <w:pPr>
      <w:spacing w:after="120"/>
    </w:pPr>
  </w:style>
  <w:style w:type="character" w:customStyle="1" w:styleId="a5">
    <w:name w:val="Основной текст Знак"/>
    <w:basedOn w:val="a0"/>
    <w:link w:val="a4"/>
    <w:rsid w:val="00144F5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144F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2020-04-17T08:35:00Z</dcterms:created>
  <dcterms:modified xsi:type="dcterms:W3CDTF">2020-04-17T08:36:00Z</dcterms:modified>
</cp:coreProperties>
</file>