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F90FEC" w:rsidRPr="00F0008E" w:rsidRDefault="00F90FEC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481AB9" w:rsidRDefault="00F90FEC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DD0">
        <w:rPr>
          <w:rFonts w:ascii="Times New Roman" w:eastAsia="Times New Roman" w:hAnsi="Times New Roman" w:cs="Times New Roman"/>
          <w:b/>
          <w:sz w:val="26"/>
          <w:szCs w:val="26"/>
        </w:rPr>
        <w:t>Предмет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05FE5" w:rsidRPr="00932C78">
        <w:rPr>
          <w:rFonts w:ascii="Times New Roman" w:eastAsia="Times New Roman" w:hAnsi="Times New Roman"/>
          <w:sz w:val="26"/>
          <w:szCs w:val="26"/>
        </w:rPr>
        <w:t xml:space="preserve">на </w:t>
      </w:r>
      <w:r w:rsidR="00705FE5">
        <w:rPr>
          <w:rFonts w:ascii="Times New Roman" w:eastAsia="Times New Roman" w:hAnsi="Times New Roman"/>
          <w:sz w:val="26"/>
          <w:szCs w:val="26"/>
        </w:rPr>
        <w:t xml:space="preserve">выполнение работ по обеспечению лиц, пострадавших в результате несчастного случая на производстве и профессиональных заболеваний протезами </w:t>
      </w:r>
      <w:r w:rsidR="00663496">
        <w:rPr>
          <w:rFonts w:ascii="Times New Roman" w:eastAsia="Times New Roman" w:hAnsi="Times New Roman"/>
          <w:sz w:val="26"/>
          <w:szCs w:val="26"/>
        </w:rPr>
        <w:t>верх</w:t>
      </w:r>
      <w:r w:rsidR="00705FE5">
        <w:rPr>
          <w:rFonts w:ascii="Times New Roman" w:eastAsia="Times New Roman" w:hAnsi="Times New Roman"/>
          <w:sz w:val="26"/>
          <w:szCs w:val="26"/>
        </w:rPr>
        <w:t>них конечностей в 2020 году</w:t>
      </w:r>
      <w:r w:rsidR="0058725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0FEC" w:rsidRPr="00F0008E" w:rsidRDefault="00F90FEC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sz w:val="26"/>
          <w:szCs w:val="26"/>
        </w:rPr>
        <w:t>Источник финансирования заказа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481AB9">
        <w:rPr>
          <w:rFonts w:ascii="Times New Roman" w:eastAsia="Times New Roman" w:hAnsi="Times New Roman" w:cs="Times New Roman"/>
          <w:sz w:val="26"/>
          <w:szCs w:val="26"/>
        </w:rPr>
        <w:t>средства обязательного социального страхования от несчастных случаев на производстве и профессиональных заболеваний</w:t>
      </w:r>
      <w:r w:rsidR="0058725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0FEC" w:rsidRPr="00444F23" w:rsidRDefault="00F90FEC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CD5">
        <w:rPr>
          <w:rFonts w:ascii="Times New Roman" w:eastAsia="Times New Roman" w:hAnsi="Times New Roman" w:cs="Times New Roman"/>
          <w:b/>
          <w:sz w:val="26"/>
          <w:szCs w:val="26"/>
        </w:rPr>
        <w:t>Максимальная цена контракта</w:t>
      </w:r>
      <w:r w:rsidRPr="00816CD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444F23" w:rsidRPr="00444F23">
        <w:rPr>
          <w:rFonts w:ascii="Times New Roman" w:eastAsia="Times New Roman" w:hAnsi="Times New Roman" w:cs="Times New Roman"/>
          <w:sz w:val="26"/>
          <w:szCs w:val="26"/>
        </w:rPr>
        <w:t>1 162 413</w:t>
      </w:r>
      <w:r w:rsidR="00640762" w:rsidRPr="00444F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CD5" w:rsidRPr="00444F23">
        <w:rPr>
          <w:rFonts w:ascii="Times New Roman" w:eastAsia="Times New Roman" w:hAnsi="Times New Roman" w:cs="Times New Roman"/>
          <w:sz w:val="26"/>
          <w:szCs w:val="26"/>
        </w:rPr>
        <w:t>(</w:t>
      </w:r>
      <w:r w:rsidR="00444F23" w:rsidRPr="00444F23">
        <w:rPr>
          <w:rFonts w:ascii="Times New Roman" w:eastAsia="Times New Roman" w:hAnsi="Times New Roman" w:cs="Times New Roman"/>
          <w:sz w:val="26"/>
          <w:szCs w:val="26"/>
        </w:rPr>
        <w:t>один</w:t>
      </w:r>
      <w:r w:rsidR="00816CD5" w:rsidRPr="00444F23">
        <w:rPr>
          <w:rFonts w:ascii="Times New Roman" w:eastAsia="Times New Roman" w:hAnsi="Times New Roman" w:cs="Times New Roman"/>
          <w:sz w:val="26"/>
          <w:szCs w:val="26"/>
        </w:rPr>
        <w:t xml:space="preserve"> миллион </w:t>
      </w:r>
      <w:r w:rsidR="00444F23" w:rsidRPr="00444F23">
        <w:rPr>
          <w:rFonts w:ascii="Times New Roman" w:eastAsia="Times New Roman" w:hAnsi="Times New Roman" w:cs="Times New Roman"/>
          <w:sz w:val="26"/>
          <w:szCs w:val="26"/>
        </w:rPr>
        <w:t>сто шестьдесят две</w:t>
      </w:r>
      <w:r w:rsidR="00696D63" w:rsidRPr="00444F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CD5" w:rsidRPr="00444F23">
        <w:rPr>
          <w:rFonts w:ascii="Times New Roman" w:eastAsia="Times New Roman" w:hAnsi="Times New Roman" w:cs="Times New Roman"/>
          <w:sz w:val="26"/>
          <w:szCs w:val="26"/>
        </w:rPr>
        <w:t>тысяч</w:t>
      </w:r>
      <w:r w:rsidR="00444F23" w:rsidRPr="00444F2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05FE5" w:rsidRPr="00444F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4F23" w:rsidRPr="00444F23">
        <w:rPr>
          <w:rFonts w:ascii="Times New Roman" w:eastAsia="Times New Roman" w:hAnsi="Times New Roman" w:cs="Times New Roman"/>
          <w:sz w:val="26"/>
          <w:szCs w:val="26"/>
        </w:rPr>
        <w:t>четыреста тринадцать</w:t>
      </w:r>
      <w:r w:rsidR="00816CD5" w:rsidRPr="00444F23">
        <w:rPr>
          <w:rFonts w:ascii="Times New Roman" w:eastAsia="Times New Roman" w:hAnsi="Times New Roman" w:cs="Times New Roman"/>
          <w:sz w:val="26"/>
          <w:szCs w:val="26"/>
        </w:rPr>
        <w:t>) рубл</w:t>
      </w:r>
      <w:r w:rsidR="00696D63" w:rsidRPr="00444F23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816CD5" w:rsidRPr="00444F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5FE5" w:rsidRPr="00444F23">
        <w:rPr>
          <w:rFonts w:ascii="Times New Roman" w:eastAsia="Times New Roman" w:hAnsi="Times New Roman" w:cs="Times New Roman"/>
          <w:sz w:val="26"/>
          <w:szCs w:val="26"/>
        </w:rPr>
        <w:t>6</w:t>
      </w:r>
      <w:r w:rsidR="00444F23" w:rsidRPr="00444F23">
        <w:rPr>
          <w:rFonts w:ascii="Times New Roman" w:eastAsia="Times New Roman" w:hAnsi="Times New Roman" w:cs="Times New Roman"/>
          <w:sz w:val="26"/>
          <w:szCs w:val="26"/>
        </w:rPr>
        <w:t>1</w:t>
      </w:r>
      <w:r w:rsidR="00816CD5" w:rsidRPr="00444F23"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 w:rsidR="00444F23" w:rsidRPr="00444F23">
        <w:rPr>
          <w:rFonts w:ascii="Times New Roman" w:eastAsia="Times New Roman" w:hAnsi="Times New Roman" w:cs="Times New Roman"/>
          <w:sz w:val="26"/>
          <w:szCs w:val="26"/>
        </w:rPr>
        <w:t>йка</w:t>
      </w:r>
      <w:r w:rsidR="00816CD5" w:rsidRPr="00444F2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0FEC" w:rsidRPr="00F0008E" w:rsidRDefault="00F90FEC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6CD5">
        <w:rPr>
          <w:rFonts w:ascii="Times New Roman" w:eastAsia="Times New Roman" w:hAnsi="Times New Roman" w:cs="Times New Roman"/>
          <w:b/>
          <w:sz w:val="26"/>
          <w:szCs w:val="26"/>
        </w:rPr>
        <w:t>Обоснование цены контракта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66349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коммерческие предложения от </w:t>
      </w:r>
      <w:r w:rsidR="00696D63" w:rsidRPr="00663496">
        <w:rPr>
          <w:rFonts w:ascii="Times New Roman" w:eastAsia="Times New Roman" w:hAnsi="Times New Roman" w:cs="Times New Roman"/>
          <w:color w:val="FF0000"/>
          <w:sz w:val="26"/>
          <w:szCs w:val="26"/>
        </w:rPr>
        <w:t>3</w:t>
      </w:r>
      <w:r w:rsidRPr="0066349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-х потенциальных поставщиков (прайс-листы) прилагаются на </w:t>
      </w:r>
      <w:r w:rsidR="00705FE5" w:rsidRPr="0066349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10 </w:t>
      </w:r>
      <w:r w:rsidRPr="00663496">
        <w:rPr>
          <w:rFonts w:ascii="Times New Roman" w:eastAsia="Times New Roman" w:hAnsi="Times New Roman" w:cs="Times New Roman"/>
          <w:color w:val="FF0000"/>
          <w:sz w:val="26"/>
          <w:szCs w:val="26"/>
        </w:rPr>
        <w:t>листах</w:t>
      </w:r>
      <w:r w:rsidR="0058725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061E" w:rsidRPr="00696D63" w:rsidRDefault="00F90FEC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0174E">
        <w:rPr>
          <w:rFonts w:ascii="Times New Roman" w:eastAsia="Times New Roman" w:hAnsi="Times New Roman" w:cs="Times New Roman"/>
          <w:b/>
          <w:sz w:val="26"/>
          <w:szCs w:val="26"/>
        </w:rPr>
        <w:t>Цена контракта включает</w:t>
      </w:r>
      <w:r w:rsidRPr="00101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174E" w:rsidRPr="006E0991">
        <w:rPr>
          <w:rFonts w:ascii="Times New Roman" w:hAnsi="Times New Roman"/>
          <w:bCs/>
          <w:sz w:val="26"/>
          <w:szCs w:val="26"/>
        </w:rPr>
        <w:t xml:space="preserve">все </w:t>
      </w:r>
      <w:r w:rsidR="0010174E" w:rsidRPr="006E0991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расходы Подрядчика по исполнению настоящего Контракта, в том числе расходы по выполненным с учетом физиологических данных Получателя</w:t>
      </w:r>
      <w:r w:rsidR="0010174E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 xml:space="preserve"> работам</w:t>
      </w:r>
      <w:r w:rsidR="0010174E" w:rsidRPr="006E0991">
        <w:rPr>
          <w:rFonts w:ascii="Times New Roman" w:eastAsia="Lucida Sans Unicode" w:hAnsi="Times New Roman"/>
          <w:color w:val="000000"/>
          <w:sz w:val="26"/>
          <w:szCs w:val="26"/>
          <w:lang w:bidi="en-US"/>
        </w:rPr>
        <w:t>, содержащимся в программе реабилитации, а также транспортировка, доставка, разгрузка, страховка, уплата таможенных пошлин, налоговых сборов и иных обязательных платежей</w:t>
      </w:r>
      <w:r w:rsidR="00B107F6" w:rsidRPr="00696D63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="003A061E" w:rsidRPr="00696D6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F061B3" w:rsidRPr="00444F23" w:rsidRDefault="00F061B3" w:rsidP="0010174E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6"/>
          <w:szCs w:val="26"/>
          <w:lang w:bidi="en-US"/>
        </w:rPr>
      </w:pPr>
      <w:r w:rsidRPr="0010174E">
        <w:rPr>
          <w:rFonts w:ascii="Times New Roman" w:eastAsia="Lucida Sans Unicode" w:hAnsi="Times New Roman"/>
          <w:b/>
          <w:sz w:val="26"/>
          <w:szCs w:val="26"/>
          <w:lang w:bidi="en-US"/>
        </w:rPr>
        <w:t>Обеспечение исполнения Контракта</w:t>
      </w:r>
      <w:r w:rsidRPr="0010174E">
        <w:rPr>
          <w:rFonts w:ascii="Times New Roman" w:eastAsia="Lucida Sans Unicode" w:hAnsi="Times New Roman"/>
          <w:sz w:val="26"/>
          <w:szCs w:val="26"/>
          <w:lang w:bidi="en-US"/>
        </w:rPr>
        <w:t xml:space="preserve">: Обеспечение исполнения Контракта предоставляется Заказчику до заключения Контракта. Размер обеспечения исполнения Контракта составляет 30 </w:t>
      </w:r>
      <w:r w:rsidRPr="00444F23">
        <w:rPr>
          <w:rFonts w:ascii="Times New Roman" w:eastAsia="Lucida Sans Unicode" w:hAnsi="Times New Roman"/>
          <w:sz w:val="26"/>
          <w:szCs w:val="26"/>
          <w:lang w:bidi="en-US"/>
        </w:rPr>
        <w:t>процентов от начальной (максимальной) цены контракта</w:t>
      </w:r>
      <w:r w:rsidR="00816CD5"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, что составляет </w:t>
      </w:r>
      <w:r w:rsidR="00444F23" w:rsidRPr="00444F23">
        <w:rPr>
          <w:rFonts w:ascii="Times New Roman" w:eastAsia="Lucida Sans Unicode" w:hAnsi="Times New Roman"/>
          <w:sz w:val="26"/>
          <w:szCs w:val="26"/>
          <w:lang w:bidi="en-US"/>
        </w:rPr>
        <w:t>348 724</w:t>
      </w:r>
      <w:r w:rsidR="00816CD5"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 (</w:t>
      </w:r>
      <w:r w:rsidR="00444F23" w:rsidRPr="00444F23">
        <w:rPr>
          <w:rFonts w:ascii="Times New Roman" w:eastAsia="Lucida Sans Unicode" w:hAnsi="Times New Roman"/>
          <w:sz w:val="26"/>
          <w:szCs w:val="26"/>
          <w:lang w:bidi="en-US"/>
        </w:rPr>
        <w:t>триста сорок восемь</w:t>
      </w:r>
      <w:r w:rsidR="0010174E"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 тысяч</w:t>
      </w:r>
      <w:r w:rsidR="00816CD5"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 </w:t>
      </w:r>
      <w:r w:rsidR="00444F23" w:rsidRPr="00444F23">
        <w:rPr>
          <w:rFonts w:ascii="Times New Roman" w:eastAsia="Lucida Sans Unicode" w:hAnsi="Times New Roman"/>
          <w:sz w:val="26"/>
          <w:szCs w:val="26"/>
          <w:lang w:bidi="en-US"/>
        </w:rPr>
        <w:t>семьсот двадцать четыре</w:t>
      </w:r>
      <w:r w:rsidR="00816CD5" w:rsidRPr="00444F23">
        <w:rPr>
          <w:rFonts w:ascii="Times New Roman" w:eastAsia="Lucida Sans Unicode" w:hAnsi="Times New Roman"/>
          <w:sz w:val="26"/>
          <w:szCs w:val="26"/>
          <w:lang w:bidi="en-US"/>
        </w:rPr>
        <w:t>) рубл</w:t>
      </w:r>
      <w:r w:rsidR="007E7BC3" w:rsidRPr="00444F23">
        <w:rPr>
          <w:rFonts w:ascii="Times New Roman" w:eastAsia="Lucida Sans Unicode" w:hAnsi="Times New Roman"/>
          <w:sz w:val="26"/>
          <w:szCs w:val="26"/>
          <w:lang w:bidi="en-US"/>
        </w:rPr>
        <w:t>я</w:t>
      </w:r>
      <w:r w:rsidR="00816CD5"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 </w:t>
      </w:r>
      <w:r w:rsidR="00444F23" w:rsidRPr="00444F23">
        <w:rPr>
          <w:rFonts w:ascii="Times New Roman" w:eastAsia="Lucida Sans Unicode" w:hAnsi="Times New Roman"/>
          <w:sz w:val="26"/>
          <w:szCs w:val="26"/>
          <w:lang w:bidi="en-US"/>
        </w:rPr>
        <w:t>08</w:t>
      </w:r>
      <w:r w:rsidR="00816CD5"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 копеек</w:t>
      </w:r>
      <w:r w:rsidRPr="00444F23">
        <w:rPr>
          <w:rFonts w:ascii="Times New Roman" w:eastAsia="Lucida Sans Unicode" w:hAnsi="Times New Roman"/>
          <w:sz w:val="26"/>
          <w:szCs w:val="26"/>
          <w:lang w:bidi="en-US"/>
        </w:rPr>
        <w:t>.</w:t>
      </w:r>
    </w:p>
    <w:p w:rsidR="00F061B3" w:rsidRPr="00444F23" w:rsidRDefault="00F061B3" w:rsidP="0010174E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6"/>
          <w:szCs w:val="26"/>
          <w:lang w:bidi="en-US"/>
        </w:rPr>
      </w:pPr>
      <w:r w:rsidRPr="00444F23">
        <w:rPr>
          <w:rFonts w:ascii="Times New Roman" w:eastAsia="Lucida Sans Unicode" w:hAnsi="Times New Roman"/>
          <w:b/>
          <w:sz w:val="26"/>
          <w:szCs w:val="26"/>
          <w:lang w:bidi="en-US"/>
        </w:rPr>
        <w:t>Обеспечение гарантийных обязательств:</w:t>
      </w:r>
      <w:r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 в размере </w:t>
      </w:r>
      <w:r w:rsidR="0010174E" w:rsidRPr="00444F23">
        <w:rPr>
          <w:rFonts w:ascii="Times New Roman" w:eastAsia="Lucida Sans Unicode" w:hAnsi="Times New Roman"/>
          <w:sz w:val="26"/>
          <w:szCs w:val="26"/>
          <w:lang w:bidi="en-US"/>
        </w:rPr>
        <w:t>1</w:t>
      </w:r>
      <w:r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 процентов от начальной (максимальной) цены контракта</w:t>
      </w:r>
      <w:r w:rsidR="00816CD5"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, что составляет </w:t>
      </w:r>
      <w:r w:rsidR="00444F23" w:rsidRPr="00444F23">
        <w:rPr>
          <w:rFonts w:ascii="Times New Roman" w:eastAsia="Lucida Sans Unicode" w:hAnsi="Times New Roman"/>
          <w:sz w:val="26"/>
          <w:szCs w:val="26"/>
          <w:lang w:bidi="en-US"/>
        </w:rPr>
        <w:t>11 624</w:t>
      </w:r>
      <w:r w:rsidR="00816CD5"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 (</w:t>
      </w:r>
      <w:r w:rsidR="00444F23" w:rsidRPr="00444F23">
        <w:rPr>
          <w:rFonts w:ascii="Times New Roman" w:eastAsia="Lucida Sans Unicode" w:hAnsi="Times New Roman"/>
          <w:sz w:val="26"/>
          <w:szCs w:val="26"/>
          <w:lang w:bidi="en-US"/>
        </w:rPr>
        <w:t>одиннадцать</w:t>
      </w:r>
      <w:r w:rsidR="00ED7311"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 тысяч </w:t>
      </w:r>
      <w:r w:rsidR="00444F23" w:rsidRPr="00444F23">
        <w:rPr>
          <w:rFonts w:ascii="Times New Roman" w:eastAsia="Lucida Sans Unicode" w:hAnsi="Times New Roman"/>
          <w:sz w:val="26"/>
          <w:szCs w:val="26"/>
          <w:lang w:bidi="en-US"/>
        </w:rPr>
        <w:t>шестьсот</w:t>
      </w:r>
      <w:r w:rsidR="00640762"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 </w:t>
      </w:r>
      <w:r w:rsidR="00444F23" w:rsidRPr="00444F23">
        <w:rPr>
          <w:rFonts w:ascii="Times New Roman" w:eastAsia="Lucida Sans Unicode" w:hAnsi="Times New Roman"/>
          <w:sz w:val="26"/>
          <w:szCs w:val="26"/>
          <w:lang w:bidi="en-US"/>
        </w:rPr>
        <w:t>двадцать четыре</w:t>
      </w:r>
      <w:r w:rsidR="00816CD5" w:rsidRPr="00444F23">
        <w:rPr>
          <w:rFonts w:ascii="Times New Roman" w:eastAsia="Lucida Sans Unicode" w:hAnsi="Times New Roman"/>
          <w:sz w:val="26"/>
          <w:szCs w:val="26"/>
          <w:lang w:bidi="en-US"/>
        </w:rPr>
        <w:t>) рубл</w:t>
      </w:r>
      <w:r w:rsidR="00444F23" w:rsidRPr="00444F23">
        <w:rPr>
          <w:rFonts w:ascii="Times New Roman" w:eastAsia="Lucida Sans Unicode" w:hAnsi="Times New Roman"/>
          <w:sz w:val="26"/>
          <w:szCs w:val="26"/>
          <w:lang w:bidi="en-US"/>
        </w:rPr>
        <w:t>я</w:t>
      </w:r>
      <w:r w:rsidR="0010174E"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 </w:t>
      </w:r>
      <w:r w:rsidR="00640762" w:rsidRPr="00444F23">
        <w:rPr>
          <w:rFonts w:ascii="Times New Roman" w:eastAsia="Lucida Sans Unicode" w:hAnsi="Times New Roman"/>
          <w:sz w:val="26"/>
          <w:szCs w:val="26"/>
          <w:lang w:bidi="en-US"/>
        </w:rPr>
        <w:t>13</w:t>
      </w:r>
      <w:r w:rsidR="00816CD5" w:rsidRPr="00444F23">
        <w:rPr>
          <w:rFonts w:ascii="Times New Roman" w:eastAsia="Lucida Sans Unicode" w:hAnsi="Times New Roman"/>
          <w:sz w:val="26"/>
          <w:szCs w:val="26"/>
          <w:lang w:bidi="en-US"/>
        </w:rPr>
        <w:t xml:space="preserve"> копе</w:t>
      </w:r>
      <w:r w:rsidR="0010174E" w:rsidRPr="00444F23">
        <w:rPr>
          <w:rFonts w:ascii="Times New Roman" w:eastAsia="Lucida Sans Unicode" w:hAnsi="Times New Roman"/>
          <w:sz w:val="26"/>
          <w:szCs w:val="26"/>
          <w:lang w:bidi="en-US"/>
        </w:rPr>
        <w:t>ек</w:t>
      </w:r>
      <w:r w:rsidRPr="00444F23">
        <w:rPr>
          <w:rFonts w:ascii="Times New Roman" w:eastAsia="Lucida Sans Unicode" w:hAnsi="Times New Roman"/>
          <w:sz w:val="26"/>
          <w:szCs w:val="26"/>
          <w:lang w:bidi="en-US"/>
        </w:rPr>
        <w:t>.</w:t>
      </w:r>
    </w:p>
    <w:p w:rsidR="0010174E" w:rsidRPr="00E04241" w:rsidRDefault="0010174E" w:rsidP="0010174E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 w:rsidRPr="00444F23">
        <w:rPr>
          <w:rFonts w:ascii="Times New Roman" w:eastAsia="Andale Sans UI" w:hAnsi="Times New Roman"/>
          <w:kern w:val="1"/>
          <w:sz w:val="26"/>
          <w:szCs w:val="26"/>
        </w:rPr>
        <w:t xml:space="preserve">Исполнитель гарантирует, что результаты работы надлежащего </w:t>
      </w:r>
      <w:r w:rsidRPr="00E04241">
        <w:rPr>
          <w:rFonts w:ascii="Times New Roman" w:eastAsia="Andale Sans UI" w:hAnsi="Times New Roman"/>
          <w:color w:val="000000"/>
          <w:kern w:val="1"/>
          <w:sz w:val="26"/>
          <w:szCs w:val="26"/>
        </w:rPr>
        <w:t>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10174E" w:rsidRPr="00E04241" w:rsidRDefault="0010174E" w:rsidP="0010174E">
      <w:pPr>
        <w:tabs>
          <w:tab w:val="left" w:pos="-15"/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 w:rsidRPr="00E04241">
        <w:rPr>
          <w:rFonts w:ascii="Times New Roman" w:eastAsia="Lucida Sans Unicode" w:hAnsi="Times New Roman"/>
          <w:kern w:val="1"/>
          <w:sz w:val="26"/>
          <w:szCs w:val="26"/>
        </w:rPr>
        <w:t>Гарантийный срок на протезы устанавливается с дня подписания Акта-сдачи приемки работ и составляет не менее 1 (одного) года. В течение этого срока Исполнитель производит замену или ремонт изделия за счет собственных средств.</w:t>
      </w:r>
    </w:p>
    <w:p w:rsidR="0010174E" w:rsidRPr="00E04241" w:rsidRDefault="0010174E" w:rsidP="0010174E">
      <w:pPr>
        <w:tabs>
          <w:tab w:val="left" w:pos="-15"/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 w:rsidRPr="00E04241">
        <w:rPr>
          <w:rFonts w:ascii="Times New Roman" w:eastAsia="Lucida Sans Unicode" w:hAnsi="Times New Roman"/>
          <w:kern w:val="1"/>
          <w:sz w:val="26"/>
          <w:szCs w:val="26"/>
        </w:rPr>
        <w:t>В случае если производителем гарантийный срок на комплектующие изделия (полуфабрикаты) указан более 12 месяцев, Исполнитель производит замену  полуфабрикатов в течение срока указанного производителем.</w:t>
      </w:r>
    </w:p>
    <w:p w:rsidR="0010174E" w:rsidRPr="00E04241" w:rsidRDefault="0010174E" w:rsidP="0010174E">
      <w:pPr>
        <w:tabs>
          <w:tab w:val="left" w:pos="-15"/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 w:rsidRPr="00E04241">
        <w:rPr>
          <w:rFonts w:ascii="Times New Roman" w:eastAsia="Lucida Sans Unicode" w:hAnsi="Times New Roman"/>
          <w:kern w:val="1"/>
          <w:sz w:val="26"/>
          <w:szCs w:val="26"/>
        </w:rPr>
        <w:t>Комплектующие изделия (полуфабрикаты) и материалы должны быть новыми.</w:t>
      </w:r>
    </w:p>
    <w:p w:rsidR="0010174E" w:rsidRPr="00E04241" w:rsidRDefault="0010174E" w:rsidP="0010174E">
      <w:pPr>
        <w:tabs>
          <w:tab w:val="left" w:pos="-15"/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 w:rsidRPr="00E04241">
        <w:rPr>
          <w:rFonts w:ascii="Times New Roman" w:eastAsia="Lucida Sans Unicode" w:hAnsi="Times New Roman"/>
          <w:kern w:val="1"/>
          <w:sz w:val="26"/>
          <w:szCs w:val="26"/>
        </w:rPr>
        <w:t>Гарантия качества результата работ распространяется на все составляющие результата работ.</w:t>
      </w:r>
    </w:p>
    <w:p w:rsidR="00B107F6" w:rsidRPr="0010174E" w:rsidRDefault="00F90FEC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74E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 </w:t>
      </w:r>
      <w:r w:rsidR="00B107F6" w:rsidRPr="0010174E">
        <w:rPr>
          <w:rFonts w:ascii="Times New Roman" w:eastAsia="Times New Roman" w:hAnsi="Times New Roman" w:cs="Times New Roman"/>
          <w:b/>
          <w:sz w:val="26"/>
          <w:szCs w:val="26"/>
        </w:rPr>
        <w:t>выполнения работ</w:t>
      </w:r>
      <w:r w:rsidR="00E91ECD" w:rsidRPr="0010174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10174E">
        <w:rPr>
          <w:rFonts w:ascii="Times New Roman" w:eastAsia="Times New Roman" w:hAnsi="Times New Roman" w:cs="Times New Roman"/>
          <w:sz w:val="26"/>
          <w:szCs w:val="26"/>
        </w:rPr>
        <w:t xml:space="preserve"> с даты </w:t>
      </w:r>
      <w:r w:rsidR="00F061B3" w:rsidRPr="0010174E">
        <w:rPr>
          <w:rFonts w:ascii="Times New Roman" w:eastAsia="Times New Roman" w:hAnsi="Times New Roman" w:cs="Times New Roman"/>
          <w:sz w:val="26"/>
          <w:szCs w:val="26"/>
        </w:rPr>
        <w:t>подписания контракта</w:t>
      </w:r>
      <w:r w:rsidR="00E91ECD" w:rsidRPr="0010174E">
        <w:rPr>
          <w:rFonts w:ascii="Times New Roman" w:eastAsia="Times New Roman" w:hAnsi="Times New Roman" w:cs="Times New Roman"/>
          <w:sz w:val="26"/>
          <w:szCs w:val="26"/>
        </w:rPr>
        <w:t xml:space="preserve"> по 30 </w:t>
      </w:r>
      <w:r w:rsidR="006003FA">
        <w:rPr>
          <w:rFonts w:ascii="Times New Roman" w:eastAsia="Times New Roman" w:hAnsi="Times New Roman" w:cs="Times New Roman"/>
          <w:sz w:val="26"/>
          <w:szCs w:val="26"/>
        </w:rPr>
        <w:t>но</w:t>
      </w:r>
      <w:r w:rsidR="007E7BC3">
        <w:rPr>
          <w:rFonts w:ascii="Times New Roman" w:eastAsia="Times New Roman" w:hAnsi="Times New Roman" w:cs="Times New Roman"/>
          <w:sz w:val="26"/>
          <w:szCs w:val="26"/>
        </w:rPr>
        <w:t>ября</w:t>
      </w:r>
      <w:r w:rsidR="00E91ECD" w:rsidRPr="0010174E">
        <w:rPr>
          <w:rFonts w:ascii="Times New Roman" w:eastAsia="Times New Roman" w:hAnsi="Times New Roman" w:cs="Times New Roman"/>
          <w:sz w:val="26"/>
          <w:szCs w:val="26"/>
        </w:rPr>
        <w:t xml:space="preserve"> 2020. </w:t>
      </w:r>
      <w:r w:rsidRPr="001017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90FEC" w:rsidRPr="00696D63" w:rsidRDefault="00F061B3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0174E">
        <w:rPr>
          <w:rFonts w:ascii="Times New Roman" w:hAnsi="Times New Roman"/>
          <w:b/>
          <w:bCs/>
          <w:sz w:val="26"/>
          <w:szCs w:val="26"/>
        </w:rPr>
        <w:t>Место выполнения работ</w:t>
      </w:r>
      <w:r w:rsidRPr="0010174E">
        <w:rPr>
          <w:rFonts w:ascii="Times New Roman" w:hAnsi="Times New Roman"/>
          <w:bCs/>
          <w:sz w:val="26"/>
          <w:szCs w:val="26"/>
        </w:rPr>
        <w:t xml:space="preserve">: </w:t>
      </w:r>
      <w:r w:rsidR="0010174E" w:rsidRPr="0010174E">
        <w:rPr>
          <w:rFonts w:ascii="Times New Roman" w:hAnsi="Times New Roman"/>
          <w:sz w:val="26"/>
          <w:szCs w:val="26"/>
        </w:rPr>
        <w:t xml:space="preserve">снятие </w:t>
      </w:r>
      <w:r w:rsidR="0010174E" w:rsidRPr="00651D5A">
        <w:rPr>
          <w:rFonts w:ascii="Times New Roman" w:hAnsi="Times New Roman"/>
          <w:sz w:val="26"/>
          <w:szCs w:val="26"/>
        </w:rPr>
        <w:t>мерок, примерка и выдача готов</w:t>
      </w:r>
      <w:r w:rsidR="0010174E">
        <w:rPr>
          <w:rFonts w:ascii="Times New Roman" w:hAnsi="Times New Roman"/>
          <w:sz w:val="26"/>
          <w:szCs w:val="26"/>
        </w:rPr>
        <w:t>ого</w:t>
      </w:r>
      <w:r w:rsidR="0010174E" w:rsidRPr="00651D5A">
        <w:rPr>
          <w:rFonts w:ascii="Times New Roman" w:hAnsi="Times New Roman"/>
          <w:sz w:val="26"/>
          <w:szCs w:val="26"/>
        </w:rPr>
        <w:t xml:space="preserve"> Издели</w:t>
      </w:r>
      <w:r w:rsidR="0010174E">
        <w:rPr>
          <w:rFonts w:ascii="Times New Roman" w:hAnsi="Times New Roman"/>
          <w:sz w:val="26"/>
          <w:szCs w:val="26"/>
        </w:rPr>
        <w:t>я</w:t>
      </w:r>
      <w:r w:rsidR="0010174E" w:rsidRPr="00651D5A">
        <w:rPr>
          <w:rFonts w:ascii="Times New Roman" w:hAnsi="Times New Roman"/>
          <w:sz w:val="26"/>
          <w:szCs w:val="26"/>
        </w:rPr>
        <w:t xml:space="preserve"> в специализированных помещениях на территории Ханты-Мансийского автономного округа-Югры</w:t>
      </w:r>
      <w:r w:rsidRPr="00696D63">
        <w:rPr>
          <w:rFonts w:ascii="Times New Roman" w:hAnsi="Times New Roman"/>
          <w:color w:val="FF0000"/>
          <w:sz w:val="26"/>
          <w:szCs w:val="26"/>
        </w:rPr>
        <w:t>.</w:t>
      </w:r>
    </w:p>
    <w:p w:rsidR="00F90FEC" w:rsidRDefault="00F90FEC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p w:rsidR="00ED7311" w:rsidRDefault="00ED7311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A02F0" w:rsidRDefault="00FA02F0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02F0" w:rsidRDefault="00FA02F0" w:rsidP="00101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e"/>
        <w:tblW w:w="10024" w:type="dxa"/>
        <w:tblLayout w:type="fixed"/>
        <w:tblLook w:val="04A0" w:firstRow="1" w:lastRow="0" w:firstColumn="1" w:lastColumn="0" w:noHBand="0" w:noVBand="1"/>
      </w:tblPr>
      <w:tblGrid>
        <w:gridCol w:w="542"/>
        <w:gridCol w:w="1774"/>
        <w:gridCol w:w="4596"/>
        <w:gridCol w:w="1701"/>
        <w:gridCol w:w="709"/>
        <w:gridCol w:w="702"/>
      </w:tblGrid>
      <w:tr w:rsidR="00F061B3" w:rsidTr="00696D63">
        <w:tc>
          <w:tcPr>
            <w:tcW w:w="542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  <w:p w:rsidR="00F061B3" w:rsidRPr="00886A35" w:rsidRDefault="00F061B3" w:rsidP="00204C99">
            <w:pPr>
              <w:autoSpaceDE w:val="0"/>
              <w:autoSpaceDN w:val="0"/>
              <w:adjustRightInd w:val="0"/>
              <w:ind w:hanging="20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774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8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886A35">
              <w:rPr>
                <w:rFonts w:ascii="Times New Roman" w:eastAsia="Times New Roman" w:hAnsi="Times New Roman" w:cs="Times New Roman"/>
                <w:b/>
              </w:rPr>
              <w:t>(без указания товарного знака)</w:t>
            </w:r>
          </w:p>
        </w:tc>
        <w:tc>
          <w:tcPr>
            <w:tcW w:w="4596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Наименование показателя (неизменяемое)</w:t>
            </w:r>
          </w:p>
        </w:tc>
        <w:tc>
          <w:tcPr>
            <w:tcW w:w="1701" w:type="dxa"/>
            <w:vAlign w:val="center"/>
          </w:tcPr>
          <w:p w:rsidR="00F061B3" w:rsidRPr="00886A35" w:rsidRDefault="00696D63" w:rsidP="00204C99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Неи</w:t>
            </w:r>
            <w:r w:rsidR="00F061B3" w:rsidRPr="00D30F85">
              <w:rPr>
                <w:rFonts w:ascii="Times New Roman" w:hAnsi="Times New Roman"/>
              </w:rPr>
              <w:t>зменяемое значение показателей (точное значение устанавливает участник закупки)</w:t>
            </w:r>
          </w:p>
        </w:tc>
        <w:tc>
          <w:tcPr>
            <w:tcW w:w="709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02" w:type="dxa"/>
            <w:vAlign w:val="center"/>
          </w:tcPr>
          <w:p w:rsidR="00F061B3" w:rsidRPr="00886A35" w:rsidRDefault="00F061B3" w:rsidP="00204C99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</w:rPr>
            </w:pPr>
            <w:r w:rsidRPr="00886A35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6003FA" w:rsidTr="005D67E1">
        <w:trPr>
          <w:trHeight w:val="1265"/>
        </w:trPr>
        <w:tc>
          <w:tcPr>
            <w:tcW w:w="542" w:type="dxa"/>
          </w:tcPr>
          <w:p w:rsidR="006003FA" w:rsidRDefault="006003FA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4" w:type="dxa"/>
          </w:tcPr>
          <w:p w:rsidR="006003FA" w:rsidRDefault="006003FA" w:rsidP="00E046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Протез предплечья косметический</w:t>
            </w:r>
          </w:p>
          <w:p w:rsidR="006003FA" w:rsidRPr="00B037F5" w:rsidRDefault="006003FA" w:rsidP="00E046B7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596" w:type="dxa"/>
          </w:tcPr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истема управления отсутствует, управление сохранившейся рукой или противоупором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исть косметическая силиконовая с нейлоновой армирующей сеткой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зел локоть-предплечье отсутствует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ополнительное РСУ отсутствует, 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</w:t>
            </w:r>
            <w:r>
              <w:rPr>
                <w:rFonts w:ascii="Times New Roman" w:eastAsia="Times New Roman" w:hAnsi="Times New Roman"/>
                <w:lang w:eastAsia="ru-RU"/>
              </w:rPr>
              <w:t>асадок, имеющих адаптер М12х1,5.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риспособления отсутствуют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болочка косметическая отсутствует, оболочка косметическая ПВХ/пластизоль без покрытия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ильза индивидуальная одинарная, гильза индивидуальная составная, гильза геометрическая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копия сохрани</w:t>
            </w:r>
            <w:r>
              <w:rPr>
                <w:rFonts w:ascii="Times New Roman" w:eastAsia="Times New Roman" w:hAnsi="Times New Roman"/>
                <w:lang w:eastAsia="ru-RU"/>
              </w:rPr>
              <w:t>вшейся руки, гильза отсутствует.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атериал гильзы: литьевой слоистый пластик на основе связующих смол, листовой термопластичный пластик, модуль п</w:t>
            </w:r>
            <w:r>
              <w:rPr>
                <w:rFonts w:ascii="Times New Roman" w:eastAsia="Times New Roman" w:hAnsi="Times New Roman"/>
                <w:lang w:eastAsia="ru-RU"/>
              </w:rPr>
              <w:t>ри вычленении плеча отсутствует.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Pr="00016BA6" w:rsidRDefault="006003FA" w:rsidP="00E046B7">
            <w:pPr>
              <w:jc w:val="center"/>
              <w:rPr>
                <w:rFonts w:ascii="Times New Roman" w:hAnsi="Times New Roman"/>
              </w:rPr>
            </w:pPr>
            <w:r w:rsidRPr="00556370">
              <w:rPr>
                <w:rFonts w:ascii="Times New Roman" w:eastAsia="Times New Roman" w:hAnsi="Times New Roman"/>
                <w:lang w:eastAsia="ru-RU"/>
              </w:rPr>
              <w:t>Крепление индивидуальное, специальное, подгоночное.</w:t>
            </w:r>
          </w:p>
        </w:tc>
        <w:tc>
          <w:tcPr>
            <w:tcW w:w="1701" w:type="dxa"/>
          </w:tcPr>
          <w:p w:rsidR="006003FA" w:rsidRPr="00F47569" w:rsidRDefault="006003FA" w:rsidP="00E01D20">
            <w:pPr>
              <w:contextualSpacing/>
              <w:jc w:val="center"/>
              <w:rPr>
                <w:rFonts w:ascii="Times New Roman" w:hAnsi="Times New Roman"/>
              </w:rPr>
            </w:pPr>
            <w:r w:rsidRPr="00F47569">
              <w:rPr>
                <w:rFonts w:ascii="Times New Roman" w:hAnsi="Times New Roman"/>
              </w:rPr>
              <w:t xml:space="preserve">Соответствует </w:t>
            </w:r>
          </w:p>
        </w:tc>
        <w:tc>
          <w:tcPr>
            <w:tcW w:w="709" w:type="dxa"/>
          </w:tcPr>
          <w:p w:rsidR="006003FA" w:rsidRPr="00DE5D8C" w:rsidRDefault="006003FA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</w:tcPr>
          <w:p w:rsidR="006003FA" w:rsidRDefault="006003FA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03FA" w:rsidTr="005D67E1">
        <w:trPr>
          <w:trHeight w:val="1265"/>
        </w:trPr>
        <w:tc>
          <w:tcPr>
            <w:tcW w:w="542" w:type="dxa"/>
          </w:tcPr>
          <w:p w:rsidR="006003FA" w:rsidRDefault="006003FA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74" w:type="dxa"/>
          </w:tcPr>
          <w:p w:rsidR="006003FA" w:rsidRPr="00556370" w:rsidRDefault="006003FA" w:rsidP="00E046B7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6370">
              <w:rPr>
                <w:rFonts w:ascii="Times New Roman" w:eastAsia="Times New Roman" w:hAnsi="Times New Roman"/>
                <w:lang w:eastAsia="ru-RU"/>
              </w:rPr>
              <w:t>Протез предплечья косметический с силиконовым чехлом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6" w:type="dxa"/>
          </w:tcPr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истема управления отсутствует, управление сохранившейся рукой или противоупором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исть косметическая силиконовая с нейлоновой армирующей сеткой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зел локоть-предплечье отсутствует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ополнительное РСУ отсутствует, 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насадок, имеющих адаптер М12х1,5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риспособления отсутствуют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болочка косметическая отсутствует, оболочка косметическая ПВХ/пластизоль без покрытия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ильза индивидуальная одинарная, гильза индивидуальная составная, гильза геометрическая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копия сохранившейся руки, гильза отсутствует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атериал гильзы: литьевой слоистый пластик на основе связующих смол, листовой термопластичный пластик</w:t>
            </w:r>
            <w:r>
              <w:rPr>
                <w:rFonts w:ascii="Times New Roman" w:hAnsi="Times New Roman"/>
              </w:rPr>
              <w:t>.</w:t>
            </w:r>
            <w:r w:rsidRPr="00556370">
              <w:rPr>
                <w:rFonts w:ascii="Times New Roman" w:hAnsi="Times New Roman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556370">
              <w:rPr>
                <w:rFonts w:ascii="Times New Roman" w:hAnsi="Times New Roman"/>
              </w:rPr>
              <w:t xml:space="preserve"> качестве вкладного элемента применяются чехлы полимерные гелевые, крепление с использованием замка, вакуумной мембраны, 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модуль при вычленении плеча отсутствует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6003FA" w:rsidRPr="00F47569" w:rsidRDefault="006003FA" w:rsidP="00E01D20">
            <w:pPr>
              <w:contextualSpacing/>
              <w:jc w:val="center"/>
              <w:rPr>
                <w:rFonts w:ascii="Times New Roman" w:hAnsi="Times New Roman"/>
              </w:rPr>
            </w:pPr>
            <w:r w:rsidRPr="00F47569">
              <w:rPr>
                <w:rFonts w:ascii="Times New Roman" w:hAnsi="Times New Roman"/>
              </w:rPr>
              <w:lastRenderedPageBreak/>
              <w:t xml:space="preserve">Соответствует </w:t>
            </w:r>
          </w:p>
        </w:tc>
        <w:tc>
          <w:tcPr>
            <w:tcW w:w="709" w:type="dxa"/>
          </w:tcPr>
          <w:p w:rsidR="006003FA" w:rsidRPr="00DE5D8C" w:rsidRDefault="006003FA" w:rsidP="00E01D2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</w:tcPr>
          <w:p w:rsidR="006003FA" w:rsidRDefault="006003FA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03FA" w:rsidTr="005D67E1">
        <w:trPr>
          <w:trHeight w:val="1265"/>
        </w:trPr>
        <w:tc>
          <w:tcPr>
            <w:tcW w:w="542" w:type="dxa"/>
          </w:tcPr>
          <w:p w:rsidR="006003FA" w:rsidRDefault="006003FA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774" w:type="dxa"/>
          </w:tcPr>
          <w:p w:rsidR="006003FA" w:rsidRDefault="006003FA" w:rsidP="00E046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Протез предплечья рабочий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6" w:type="dxa"/>
          </w:tcPr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истема управления – сохранившейся рукой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одули пальцев, пястей и кистей – отсутствуют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лочка косметическая отсутствует.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 «локоть-предплечье» отсутствует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омплект рабочих насадок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риемная гильза: индивидуальная, изготовленная по слепку с культи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атериал гильзы - литьевой слоистый пластик на основе связующих смол, листовой термопластичный пластик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03FA" w:rsidRPr="00845BE0" w:rsidRDefault="006003FA" w:rsidP="00E04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04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репление – индивидуальное, специальное, подгоночное.</w:t>
            </w:r>
          </w:p>
        </w:tc>
        <w:tc>
          <w:tcPr>
            <w:tcW w:w="1701" w:type="dxa"/>
          </w:tcPr>
          <w:p w:rsidR="006003FA" w:rsidRPr="00F47569" w:rsidRDefault="006003FA" w:rsidP="00E01D20">
            <w:pPr>
              <w:contextualSpacing/>
              <w:jc w:val="center"/>
              <w:rPr>
                <w:rFonts w:ascii="Times New Roman" w:hAnsi="Times New Roman"/>
              </w:rPr>
            </w:pPr>
            <w:r w:rsidRPr="00F47569">
              <w:rPr>
                <w:rFonts w:ascii="Times New Roman" w:hAnsi="Times New Roman"/>
              </w:rPr>
              <w:t xml:space="preserve">Соответствует </w:t>
            </w:r>
          </w:p>
        </w:tc>
        <w:tc>
          <w:tcPr>
            <w:tcW w:w="709" w:type="dxa"/>
          </w:tcPr>
          <w:p w:rsidR="006003FA" w:rsidRPr="00DE5D8C" w:rsidRDefault="006003FA" w:rsidP="00E01D2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</w:tcPr>
          <w:p w:rsidR="006003FA" w:rsidRDefault="006003FA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03FA" w:rsidTr="00FA02F0">
        <w:trPr>
          <w:trHeight w:val="701"/>
        </w:trPr>
        <w:tc>
          <w:tcPr>
            <w:tcW w:w="542" w:type="dxa"/>
          </w:tcPr>
          <w:p w:rsidR="006003FA" w:rsidRDefault="006003FA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74" w:type="dxa"/>
          </w:tcPr>
          <w:p w:rsidR="006003FA" w:rsidRDefault="006003FA" w:rsidP="00E046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Протез предплечья активный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6003FA" w:rsidRPr="00E140C8" w:rsidRDefault="006003FA" w:rsidP="00E046B7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596" w:type="dxa"/>
          </w:tcPr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истема управления механическая (тяговая)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исть с гибкой тягой каркасная с активным схватом без ротации, кисть с гибкой тягой каркасная с пружинным схватом, пассивной ротацией с бесступенчатой регулируемой тугоподвижностью и фиксацией блока IV – V пальцев, кисть с гибкой тягой каркасная с пружинным схватом без ротации, кисть с гибкой тягой каркасная с активным схватом, пассивной ротацией с бесступенчатой регулируемой тугоподвижностью и фиксацией блока IV – V пальцев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зел локоть-предплечье отсутствует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имеющих адаптер М12х1,5, дополнительное РСУ отсутствует, шарнир кистевой с бесступенчатой изменяемой тугоподвижностью в узле ротации,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мм.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Приспособления отсутствуют.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болочка косметическая ПВХ/пластизоль с покрытием, оболочка косметическая ПВХ/пластизоль без покрытия, оболочка косметическая силиконовая, оболочка косметическая отсутствует, оболочка косметическая силиконовая с армирующей сеткой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ильза индивидуальная одинарная, гильза индивидуальная составная, гильза геометрическая, копия сохранившейся руки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атериал гильзы: литьевой слоистый пластик на основе связующих смол, листовой термопластичный пластик, модуль при вычленении плеча отсутствует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03FA" w:rsidRPr="006C75CC" w:rsidRDefault="006003FA" w:rsidP="00E046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556370">
              <w:rPr>
                <w:rFonts w:ascii="Times New Roman" w:eastAsia="Times New Roman" w:hAnsi="Times New Roman"/>
                <w:lang w:eastAsia="ru-RU"/>
              </w:rPr>
              <w:t>репление индивидуальное, подгоночное, специальное.</w:t>
            </w:r>
          </w:p>
        </w:tc>
        <w:tc>
          <w:tcPr>
            <w:tcW w:w="1701" w:type="dxa"/>
          </w:tcPr>
          <w:p w:rsidR="006003FA" w:rsidRPr="00F47569" w:rsidRDefault="006003FA" w:rsidP="00E01D20">
            <w:pPr>
              <w:contextualSpacing/>
              <w:jc w:val="center"/>
              <w:rPr>
                <w:rFonts w:ascii="Times New Roman" w:hAnsi="Times New Roman"/>
              </w:rPr>
            </w:pPr>
            <w:r w:rsidRPr="00F47569">
              <w:rPr>
                <w:rFonts w:ascii="Times New Roman" w:hAnsi="Times New Roman"/>
              </w:rPr>
              <w:lastRenderedPageBreak/>
              <w:t xml:space="preserve">Соответствует </w:t>
            </w:r>
          </w:p>
        </w:tc>
        <w:tc>
          <w:tcPr>
            <w:tcW w:w="709" w:type="dxa"/>
          </w:tcPr>
          <w:p w:rsidR="006003FA" w:rsidRPr="00DE5D8C" w:rsidRDefault="006003FA" w:rsidP="00E01D2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</w:tcPr>
          <w:p w:rsidR="006003FA" w:rsidRDefault="006003FA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003FA" w:rsidTr="005D67E1">
        <w:trPr>
          <w:trHeight w:val="1265"/>
        </w:trPr>
        <w:tc>
          <w:tcPr>
            <w:tcW w:w="542" w:type="dxa"/>
          </w:tcPr>
          <w:p w:rsidR="006003FA" w:rsidRDefault="006003FA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774" w:type="dxa"/>
          </w:tcPr>
          <w:p w:rsidR="006003FA" w:rsidRPr="00556370" w:rsidRDefault="006003FA" w:rsidP="00E046B7">
            <w:pPr>
              <w:jc w:val="center"/>
              <w:rPr>
                <w:rFonts w:ascii="Times New Roman" w:hAnsi="Times New Roman"/>
              </w:rPr>
            </w:pPr>
            <w:r w:rsidRPr="00556370">
              <w:rPr>
                <w:rFonts w:ascii="Times New Roman" w:hAnsi="Times New Roman"/>
              </w:rPr>
              <w:t>Протез плеча косметический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6" w:type="dxa"/>
          </w:tcPr>
          <w:p w:rsidR="006003FA" w:rsidRDefault="006003FA" w:rsidP="00E046B7">
            <w:pPr>
              <w:jc w:val="center"/>
              <w:rPr>
                <w:rFonts w:ascii="Times New Roman" w:hAnsi="Times New Roman"/>
              </w:rPr>
            </w:pPr>
            <w:r w:rsidRPr="00556370">
              <w:rPr>
                <w:rFonts w:ascii="Times New Roman" w:hAnsi="Times New Roman"/>
              </w:rPr>
              <w:t>Протез плеча косметический, функционально-косметический</w:t>
            </w:r>
            <w:r>
              <w:rPr>
                <w:rFonts w:ascii="Times New Roman" w:hAnsi="Times New Roman"/>
              </w:rPr>
              <w:t>.</w:t>
            </w:r>
            <w:r w:rsidRPr="00556370">
              <w:rPr>
                <w:rFonts w:ascii="Times New Roman" w:hAnsi="Times New Roman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56370">
              <w:rPr>
                <w:rFonts w:ascii="Times New Roman" w:hAnsi="Times New Roman"/>
              </w:rPr>
              <w:t>истема управления отсутствует, управление сохранившейся рукой или противоупором</w:t>
            </w:r>
            <w:r>
              <w:rPr>
                <w:rFonts w:ascii="Times New Roman" w:hAnsi="Times New Roman"/>
              </w:rPr>
              <w:t>.</w:t>
            </w:r>
            <w:r w:rsidRPr="00556370">
              <w:rPr>
                <w:rFonts w:ascii="Times New Roman" w:hAnsi="Times New Roman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56370">
              <w:rPr>
                <w:rFonts w:ascii="Times New Roman" w:hAnsi="Times New Roman"/>
              </w:rPr>
              <w:t>исть косметическая из ПВХ, кисть косметическая силиконовая с несъемной формообразующей арматурой в пальцах, адаптером в запястье (адаптер кис</w:t>
            </w:r>
            <w:r>
              <w:rPr>
                <w:rFonts w:ascii="Times New Roman" w:hAnsi="Times New Roman"/>
              </w:rPr>
              <w:t>тевой поставляется в комплекте).</w:t>
            </w:r>
            <w:r w:rsidRPr="005563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56370">
              <w:rPr>
                <w:rFonts w:ascii="Times New Roman" w:hAnsi="Times New Roman"/>
              </w:rPr>
              <w:t>зел локоть-предплечье эндоскелетного типа, пассивный со ступенчатой фиксацией, с пассивной ротацией плеча и предплечья (с возможностью изменения тугоподвижности)</w:t>
            </w:r>
            <w:r>
              <w:rPr>
                <w:rFonts w:ascii="Times New Roman" w:hAnsi="Times New Roman"/>
              </w:rPr>
              <w:t>.</w:t>
            </w:r>
            <w:r w:rsidRPr="00556370">
              <w:rPr>
                <w:rFonts w:ascii="Times New Roman" w:hAnsi="Times New Roman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556370">
              <w:rPr>
                <w:rFonts w:ascii="Times New Roman" w:hAnsi="Times New Roman"/>
              </w:rPr>
              <w:t>окоть-предплечье экзоскелетного типа пассивный со ступенчатой фиксацией</w:t>
            </w:r>
            <w:r>
              <w:rPr>
                <w:rFonts w:ascii="Times New Roman" w:hAnsi="Times New Roman"/>
              </w:rPr>
              <w:t>.</w:t>
            </w:r>
            <w:r w:rsidRPr="00556370">
              <w:rPr>
                <w:rFonts w:ascii="Times New Roman" w:hAnsi="Times New Roman"/>
              </w:rPr>
              <w:t xml:space="preserve"> 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556370">
              <w:rPr>
                <w:rFonts w:ascii="Times New Roman" w:hAnsi="Times New Roman"/>
              </w:rPr>
              <w:t>отатор кистевой с адаптером, для присоединения кистей косметических, тяговых каркасных без ротации и рабочих насадок, имеющи</w:t>
            </w:r>
            <w:r>
              <w:rPr>
                <w:rFonts w:ascii="Times New Roman" w:hAnsi="Times New Roman"/>
              </w:rPr>
              <w:t>й</w:t>
            </w:r>
            <w:r w:rsidRPr="00556370">
              <w:rPr>
                <w:rFonts w:ascii="Times New Roman" w:hAnsi="Times New Roman"/>
              </w:rPr>
              <w:t xml:space="preserve"> адаптер М12х1,5, функция ротации реализована в составе модуля кисти, дополнительное РСУ отсутствует</w:t>
            </w:r>
            <w:r>
              <w:rPr>
                <w:rFonts w:ascii="Times New Roman" w:hAnsi="Times New Roman"/>
              </w:rPr>
              <w:t>.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56370">
              <w:rPr>
                <w:rFonts w:ascii="Times New Roman" w:hAnsi="Times New Roman"/>
              </w:rPr>
              <w:t>риспособления отсутствуют</w:t>
            </w:r>
            <w:r>
              <w:rPr>
                <w:rFonts w:ascii="Times New Roman" w:hAnsi="Times New Roman"/>
              </w:rPr>
              <w:t>.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56370">
              <w:rPr>
                <w:rFonts w:ascii="Times New Roman" w:hAnsi="Times New Roman"/>
              </w:rPr>
              <w:t>болочка косметическая отсутствует, оболочка косметическая силиконовая, оболочка косметическая силиконовая с армирующей сеткой, оболочка косметическая ПВХ/пластизоль с покрытием, оболочка косметическая ПВХ/пластизоль без покрытия</w:t>
            </w:r>
            <w:r>
              <w:rPr>
                <w:rFonts w:ascii="Times New Roman" w:hAnsi="Times New Roman"/>
              </w:rPr>
              <w:t>.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56370">
              <w:rPr>
                <w:rFonts w:ascii="Times New Roman" w:hAnsi="Times New Roman"/>
              </w:rPr>
              <w:t>ильза индивидуальная одинарная, гильза индивидуальная составная</w:t>
            </w:r>
            <w:r>
              <w:rPr>
                <w:rFonts w:ascii="Times New Roman" w:hAnsi="Times New Roman"/>
              </w:rPr>
              <w:t>.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56370">
              <w:rPr>
                <w:rFonts w:ascii="Times New Roman" w:hAnsi="Times New Roman"/>
              </w:rPr>
              <w:t>атериал гильзы: литьевой слоистый пластик на основе связующих смол, листовой термопластичный пластик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003FA" w:rsidRDefault="006003FA" w:rsidP="00E04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56370">
              <w:rPr>
                <w:rFonts w:ascii="Times New Roman" w:hAnsi="Times New Roman"/>
              </w:rPr>
              <w:t>одуль при вычленении плеча отсутствует</w:t>
            </w:r>
            <w:r>
              <w:rPr>
                <w:rFonts w:ascii="Times New Roman" w:hAnsi="Times New Roman"/>
              </w:rPr>
              <w:t>.</w:t>
            </w:r>
          </w:p>
          <w:p w:rsidR="006003FA" w:rsidRDefault="006003FA" w:rsidP="00E046B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</w:t>
            </w:r>
            <w:r w:rsidRPr="00556370">
              <w:rPr>
                <w:rFonts w:ascii="Times New Roman" w:hAnsi="Times New Roman"/>
              </w:rPr>
              <w:t>репление подгоночное, индивидуальное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6003FA" w:rsidRPr="00F47569" w:rsidRDefault="006003FA" w:rsidP="00E01D20">
            <w:pPr>
              <w:contextualSpacing/>
              <w:jc w:val="center"/>
              <w:rPr>
                <w:rFonts w:ascii="Times New Roman" w:hAnsi="Times New Roman"/>
              </w:rPr>
            </w:pPr>
            <w:r w:rsidRPr="00F47569">
              <w:rPr>
                <w:rFonts w:ascii="Times New Roman" w:hAnsi="Times New Roman"/>
              </w:rPr>
              <w:t xml:space="preserve">Соответствует </w:t>
            </w:r>
          </w:p>
        </w:tc>
        <w:tc>
          <w:tcPr>
            <w:tcW w:w="709" w:type="dxa"/>
          </w:tcPr>
          <w:p w:rsidR="006003FA" w:rsidRPr="00DE5D8C" w:rsidRDefault="006003FA" w:rsidP="00E01D2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</w:tcPr>
          <w:p w:rsidR="006003FA" w:rsidRDefault="006003FA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03FA" w:rsidTr="006003FA">
        <w:trPr>
          <w:trHeight w:val="1125"/>
        </w:trPr>
        <w:tc>
          <w:tcPr>
            <w:tcW w:w="542" w:type="dxa"/>
          </w:tcPr>
          <w:p w:rsidR="006003FA" w:rsidRDefault="006003FA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774" w:type="dxa"/>
          </w:tcPr>
          <w:p w:rsidR="006003FA" w:rsidRPr="00E04241" w:rsidRDefault="006003FA" w:rsidP="006003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Косметическая оболочка на протез верхней конечности</w:t>
            </w:r>
          </w:p>
        </w:tc>
        <w:tc>
          <w:tcPr>
            <w:tcW w:w="4596" w:type="dxa"/>
          </w:tcPr>
          <w:p w:rsidR="006003FA" w:rsidRDefault="006003FA" w:rsidP="00E046B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Косметическая оболочка на протез верхней конечности.</w:t>
            </w:r>
          </w:p>
          <w:p w:rsidR="006003FA" w:rsidRPr="00C17148" w:rsidRDefault="006003FA" w:rsidP="00E046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6003FA" w:rsidRDefault="006003FA">
            <w:r w:rsidRPr="00163443">
              <w:rPr>
                <w:rFonts w:ascii="Times New Roman" w:hAnsi="Times New Roman"/>
              </w:rPr>
              <w:t>Соответствует</w:t>
            </w:r>
          </w:p>
        </w:tc>
        <w:tc>
          <w:tcPr>
            <w:tcW w:w="709" w:type="dxa"/>
          </w:tcPr>
          <w:p w:rsidR="006003FA" w:rsidRDefault="006003FA" w:rsidP="00663496">
            <w:pPr>
              <w:jc w:val="center"/>
            </w:pPr>
            <w:r w:rsidRPr="00F508E8"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</w:tcPr>
          <w:p w:rsidR="006003FA" w:rsidRDefault="006003FA" w:rsidP="00886A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003FA" w:rsidTr="00696D63">
        <w:tc>
          <w:tcPr>
            <w:tcW w:w="8613" w:type="dxa"/>
            <w:gridSpan w:val="4"/>
          </w:tcPr>
          <w:p w:rsidR="006003FA" w:rsidRDefault="006003FA" w:rsidP="00F061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vAlign w:val="center"/>
          </w:tcPr>
          <w:p w:rsidR="006003FA" w:rsidRPr="00DE5D8C" w:rsidRDefault="006003FA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2" w:type="dxa"/>
            <w:vAlign w:val="center"/>
          </w:tcPr>
          <w:p w:rsidR="006003FA" w:rsidRPr="00D30F85" w:rsidRDefault="006003FA" w:rsidP="00204C9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886A35" w:rsidRDefault="00886A35" w:rsidP="00F0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696D63" w:rsidP="00101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205F">
        <w:rPr>
          <w:rFonts w:ascii="Times New Roman" w:hAnsi="Times New Roman"/>
          <w:sz w:val="26"/>
          <w:szCs w:val="26"/>
        </w:rPr>
        <w:t>ГОСТ ISO 10993-1-2011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ИСО 22523-2007 «Протезы конечностей и ортезы наружные требования и методы испытаний»</w:t>
      </w:r>
      <w:r>
        <w:rPr>
          <w:rFonts w:ascii="Times New Roman" w:hAnsi="Times New Roman"/>
          <w:sz w:val="26"/>
          <w:szCs w:val="26"/>
        </w:rPr>
        <w:t>.</w:t>
      </w:r>
    </w:p>
    <w:p w:rsidR="00816CD5" w:rsidRPr="00F0008E" w:rsidRDefault="00816CD5" w:rsidP="0081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02F0" w:rsidRDefault="00FA02F0" w:rsidP="0081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CD5" w:rsidRDefault="00705FE5" w:rsidP="00816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444F23">
        <w:rPr>
          <w:rFonts w:ascii="Times New Roman" w:eastAsia="Times New Roman" w:hAnsi="Times New Roman" w:cs="Times New Roman"/>
          <w:sz w:val="26"/>
          <w:szCs w:val="26"/>
        </w:rPr>
        <w:t>3</w:t>
      </w:r>
      <w:r w:rsidR="00816CD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63496">
        <w:rPr>
          <w:rFonts w:ascii="Times New Roman" w:eastAsia="Times New Roman" w:hAnsi="Times New Roman" w:cs="Times New Roman"/>
          <w:sz w:val="26"/>
          <w:szCs w:val="26"/>
        </w:rPr>
        <w:t>04</w:t>
      </w:r>
      <w:r w:rsidR="00816CD5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663496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16CD5" w:rsidRPr="00F0008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816CD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16CD5" w:rsidRPr="00F0008E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ED731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16CD5" w:rsidRPr="00F0008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16CD5">
        <w:rPr>
          <w:rFonts w:ascii="Times New Roman" w:eastAsia="Times New Roman" w:hAnsi="Times New Roman" w:cs="Times New Roman"/>
          <w:sz w:val="26"/>
          <w:szCs w:val="26"/>
        </w:rPr>
        <w:t>_____________ Бачинина Н.Ю.</w:t>
      </w:r>
    </w:p>
    <w:p w:rsidR="00342557" w:rsidRPr="00616983" w:rsidRDefault="00342557" w:rsidP="001D1D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</w:pPr>
    </w:p>
    <w:sectPr w:rsidR="00342557" w:rsidRPr="00616983" w:rsidSect="00FA02F0">
      <w:footerReference w:type="default" r:id="rId9"/>
      <w:pgSz w:w="11906" w:h="16838"/>
      <w:pgMar w:top="99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88" w:rsidRDefault="00BD7B88" w:rsidP="00C01B2F">
      <w:pPr>
        <w:spacing w:after="0" w:line="240" w:lineRule="auto"/>
      </w:pPr>
      <w:r>
        <w:separator/>
      </w:r>
    </w:p>
  </w:endnote>
  <w:endnote w:type="continuationSeparator" w:id="0">
    <w:p w:rsidR="00BD7B88" w:rsidRDefault="00BD7B88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626794"/>
      <w:docPartObj>
        <w:docPartGallery w:val="Page Numbers (Bottom of Page)"/>
        <w:docPartUnique/>
      </w:docPartObj>
    </w:sdtPr>
    <w:sdtEndPr/>
    <w:sdtContent>
      <w:p w:rsidR="00BD7B88" w:rsidRDefault="00BD7B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F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B88" w:rsidRDefault="00BD7B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88" w:rsidRDefault="00BD7B88" w:rsidP="00C01B2F">
      <w:pPr>
        <w:spacing w:after="0" w:line="240" w:lineRule="auto"/>
      </w:pPr>
      <w:r>
        <w:separator/>
      </w:r>
    </w:p>
  </w:footnote>
  <w:footnote w:type="continuationSeparator" w:id="0">
    <w:p w:rsidR="00BD7B88" w:rsidRDefault="00BD7B88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4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1ED9"/>
    <w:rsid w:val="00012246"/>
    <w:rsid w:val="00024C38"/>
    <w:rsid w:val="00027001"/>
    <w:rsid w:val="00027369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604E"/>
    <w:rsid w:val="000B6B68"/>
    <w:rsid w:val="000B7BF5"/>
    <w:rsid w:val="000C0B05"/>
    <w:rsid w:val="000F5787"/>
    <w:rsid w:val="000F5FE5"/>
    <w:rsid w:val="0010174E"/>
    <w:rsid w:val="001026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2FB4"/>
    <w:rsid w:val="001D1934"/>
    <w:rsid w:val="001D1DD0"/>
    <w:rsid w:val="001D429F"/>
    <w:rsid w:val="001E32F1"/>
    <w:rsid w:val="001E6834"/>
    <w:rsid w:val="001F16FD"/>
    <w:rsid w:val="001F422D"/>
    <w:rsid w:val="001F6959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A58AA"/>
    <w:rsid w:val="002A6935"/>
    <w:rsid w:val="002C2028"/>
    <w:rsid w:val="002C30E0"/>
    <w:rsid w:val="002C4428"/>
    <w:rsid w:val="002E4FCD"/>
    <w:rsid w:val="002F1BAA"/>
    <w:rsid w:val="002F1F29"/>
    <w:rsid w:val="002F2A98"/>
    <w:rsid w:val="002F375D"/>
    <w:rsid w:val="00304F24"/>
    <w:rsid w:val="00305275"/>
    <w:rsid w:val="00311C66"/>
    <w:rsid w:val="00324610"/>
    <w:rsid w:val="0033355A"/>
    <w:rsid w:val="00333A97"/>
    <w:rsid w:val="003402AA"/>
    <w:rsid w:val="00341333"/>
    <w:rsid w:val="00342557"/>
    <w:rsid w:val="003521B3"/>
    <w:rsid w:val="00353FAE"/>
    <w:rsid w:val="00357A1D"/>
    <w:rsid w:val="003603B3"/>
    <w:rsid w:val="00375D7D"/>
    <w:rsid w:val="0037753D"/>
    <w:rsid w:val="003805FE"/>
    <w:rsid w:val="00382C8A"/>
    <w:rsid w:val="00384501"/>
    <w:rsid w:val="00386D04"/>
    <w:rsid w:val="003870F2"/>
    <w:rsid w:val="00387532"/>
    <w:rsid w:val="00387EC1"/>
    <w:rsid w:val="00393A6D"/>
    <w:rsid w:val="00394E82"/>
    <w:rsid w:val="00395173"/>
    <w:rsid w:val="003A061E"/>
    <w:rsid w:val="003A25CB"/>
    <w:rsid w:val="003A7083"/>
    <w:rsid w:val="003A7AB4"/>
    <w:rsid w:val="003C2DAE"/>
    <w:rsid w:val="003C3EB7"/>
    <w:rsid w:val="003C584B"/>
    <w:rsid w:val="003C6F1A"/>
    <w:rsid w:val="003D051F"/>
    <w:rsid w:val="003D628F"/>
    <w:rsid w:val="003E5258"/>
    <w:rsid w:val="003F6CC8"/>
    <w:rsid w:val="00403E1E"/>
    <w:rsid w:val="00413226"/>
    <w:rsid w:val="00413C20"/>
    <w:rsid w:val="00442ED3"/>
    <w:rsid w:val="00444F23"/>
    <w:rsid w:val="004502BA"/>
    <w:rsid w:val="00454FBA"/>
    <w:rsid w:val="00455443"/>
    <w:rsid w:val="0045759B"/>
    <w:rsid w:val="004601FA"/>
    <w:rsid w:val="00461F3C"/>
    <w:rsid w:val="00462506"/>
    <w:rsid w:val="00466C5E"/>
    <w:rsid w:val="00473C89"/>
    <w:rsid w:val="00481AB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5464E"/>
    <w:rsid w:val="00554DCF"/>
    <w:rsid w:val="00555840"/>
    <w:rsid w:val="005571DD"/>
    <w:rsid w:val="0057224A"/>
    <w:rsid w:val="00583C85"/>
    <w:rsid w:val="0058725A"/>
    <w:rsid w:val="005A1B1A"/>
    <w:rsid w:val="005A1DBA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2331"/>
    <w:rsid w:val="005F542F"/>
    <w:rsid w:val="006003FA"/>
    <w:rsid w:val="00616983"/>
    <w:rsid w:val="00616D40"/>
    <w:rsid w:val="0061752F"/>
    <w:rsid w:val="00617F4C"/>
    <w:rsid w:val="006264CD"/>
    <w:rsid w:val="00633D08"/>
    <w:rsid w:val="00640762"/>
    <w:rsid w:val="0065044E"/>
    <w:rsid w:val="00651424"/>
    <w:rsid w:val="00656705"/>
    <w:rsid w:val="0065683A"/>
    <w:rsid w:val="0065747D"/>
    <w:rsid w:val="0066157A"/>
    <w:rsid w:val="00663496"/>
    <w:rsid w:val="00663C1D"/>
    <w:rsid w:val="006732EA"/>
    <w:rsid w:val="006764C5"/>
    <w:rsid w:val="00680CE0"/>
    <w:rsid w:val="00692BC6"/>
    <w:rsid w:val="00696D63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05FE5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4B5B"/>
    <w:rsid w:val="00766CCD"/>
    <w:rsid w:val="00776221"/>
    <w:rsid w:val="0078231B"/>
    <w:rsid w:val="00784D89"/>
    <w:rsid w:val="007875D9"/>
    <w:rsid w:val="007927F6"/>
    <w:rsid w:val="00793208"/>
    <w:rsid w:val="007A2377"/>
    <w:rsid w:val="007A4EEE"/>
    <w:rsid w:val="007B2498"/>
    <w:rsid w:val="007C6295"/>
    <w:rsid w:val="007D779F"/>
    <w:rsid w:val="007E5EBF"/>
    <w:rsid w:val="007E6DB8"/>
    <w:rsid w:val="007E7BC3"/>
    <w:rsid w:val="007F3F53"/>
    <w:rsid w:val="007F6B55"/>
    <w:rsid w:val="007F6E7D"/>
    <w:rsid w:val="00800796"/>
    <w:rsid w:val="008027CA"/>
    <w:rsid w:val="00806778"/>
    <w:rsid w:val="00807F4A"/>
    <w:rsid w:val="00816CD5"/>
    <w:rsid w:val="0083172B"/>
    <w:rsid w:val="00832A6F"/>
    <w:rsid w:val="00834EA5"/>
    <w:rsid w:val="008371EB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86A35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14DD4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A00226"/>
    <w:rsid w:val="00A00C20"/>
    <w:rsid w:val="00A00E51"/>
    <w:rsid w:val="00A00F31"/>
    <w:rsid w:val="00A014F0"/>
    <w:rsid w:val="00A05833"/>
    <w:rsid w:val="00A1209B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6CDE"/>
    <w:rsid w:val="00AC74A3"/>
    <w:rsid w:val="00AC7BDD"/>
    <w:rsid w:val="00AD41AB"/>
    <w:rsid w:val="00AE6D27"/>
    <w:rsid w:val="00AF0E5F"/>
    <w:rsid w:val="00B03178"/>
    <w:rsid w:val="00B107F6"/>
    <w:rsid w:val="00B107FD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A125E"/>
    <w:rsid w:val="00BB4D5B"/>
    <w:rsid w:val="00BB6EF7"/>
    <w:rsid w:val="00BB6F77"/>
    <w:rsid w:val="00BC00C5"/>
    <w:rsid w:val="00BC48F3"/>
    <w:rsid w:val="00BC601D"/>
    <w:rsid w:val="00BD0AEE"/>
    <w:rsid w:val="00BD4574"/>
    <w:rsid w:val="00BD7B8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7BE6"/>
    <w:rsid w:val="00C40C82"/>
    <w:rsid w:val="00C43204"/>
    <w:rsid w:val="00C50B96"/>
    <w:rsid w:val="00C6620F"/>
    <w:rsid w:val="00C67D2D"/>
    <w:rsid w:val="00C7443E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E3605"/>
    <w:rsid w:val="00CE46D4"/>
    <w:rsid w:val="00CE69E8"/>
    <w:rsid w:val="00CE6EDB"/>
    <w:rsid w:val="00CF1FFF"/>
    <w:rsid w:val="00D0440A"/>
    <w:rsid w:val="00D0500E"/>
    <w:rsid w:val="00D06E87"/>
    <w:rsid w:val="00D164CF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2FE8"/>
    <w:rsid w:val="00DB4096"/>
    <w:rsid w:val="00DB4E59"/>
    <w:rsid w:val="00DB70CB"/>
    <w:rsid w:val="00DC008A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3DD3"/>
    <w:rsid w:val="00E75A67"/>
    <w:rsid w:val="00E770E0"/>
    <w:rsid w:val="00E83F84"/>
    <w:rsid w:val="00E8405D"/>
    <w:rsid w:val="00E91ECD"/>
    <w:rsid w:val="00E929C0"/>
    <w:rsid w:val="00E9477E"/>
    <w:rsid w:val="00EA19E9"/>
    <w:rsid w:val="00EB186C"/>
    <w:rsid w:val="00EB7D29"/>
    <w:rsid w:val="00EC1BBF"/>
    <w:rsid w:val="00EC1F72"/>
    <w:rsid w:val="00EC2CCF"/>
    <w:rsid w:val="00EC65A0"/>
    <w:rsid w:val="00ED2CF3"/>
    <w:rsid w:val="00ED31E3"/>
    <w:rsid w:val="00ED7311"/>
    <w:rsid w:val="00EE39CD"/>
    <w:rsid w:val="00F0008E"/>
    <w:rsid w:val="00F00699"/>
    <w:rsid w:val="00F061B3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7B4C"/>
    <w:rsid w:val="00F60A4A"/>
    <w:rsid w:val="00F72202"/>
    <w:rsid w:val="00F85C9B"/>
    <w:rsid w:val="00F85FFE"/>
    <w:rsid w:val="00F90FEC"/>
    <w:rsid w:val="00F93F09"/>
    <w:rsid w:val="00F9685A"/>
    <w:rsid w:val="00F97E9B"/>
    <w:rsid w:val="00FA02F0"/>
    <w:rsid w:val="00FA37EE"/>
    <w:rsid w:val="00FC34F0"/>
    <w:rsid w:val="00FC3E20"/>
    <w:rsid w:val="00FC723F"/>
    <w:rsid w:val="00FD0B9D"/>
    <w:rsid w:val="00FD7064"/>
    <w:rsid w:val="00FD7077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FC0C-A694-44C5-91D6-1760F318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Бачинина Наталья Юрьевна</cp:lastModifiedBy>
  <cp:revision>80</cp:revision>
  <cp:lastPrinted>2019-12-16T11:34:00Z</cp:lastPrinted>
  <dcterms:created xsi:type="dcterms:W3CDTF">2018-04-24T11:22:00Z</dcterms:created>
  <dcterms:modified xsi:type="dcterms:W3CDTF">2020-04-13T05:57:00Z</dcterms:modified>
</cp:coreProperties>
</file>