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3E0" w:rsidRPr="00DD7263" w:rsidRDefault="000843E0" w:rsidP="000843E0">
      <w:pPr>
        <w:keepLines/>
        <w:widowControl w:val="0"/>
        <w:suppressAutoHyphens/>
        <w:jc w:val="center"/>
        <w:rPr>
          <w:b/>
        </w:rPr>
      </w:pPr>
      <w:r w:rsidRPr="00DD7263">
        <w:rPr>
          <w:b/>
        </w:rPr>
        <w:t>ОПИСАНИЕ ОБЪЕКТА ЗАКУПКИ</w:t>
      </w:r>
    </w:p>
    <w:p w:rsidR="000843E0" w:rsidRDefault="00B64396" w:rsidP="000843E0">
      <w:pPr>
        <w:keepLines/>
        <w:widowControl w:val="0"/>
        <w:suppressAutoHyphens/>
        <w:jc w:val="center"/>
        <w:rPr>
          <w:bCs/>
        </w:rPr>
      </w:pPr>
      <w:r w:rsidRPr="00B64396">
        <w:rPr>
          <w:bCs/>
        </w:rPr>
        <w:t>Выполнение работ по изготовлению протезов голени для обеспечения пострадавшего в результате несчастного случая на производстве в 2020 году</w:t>
      </w:r>
    </w:p>
    <w:p w:rsidR="00B64396" w:rsidRDefault="00B64396" w:rsidP="000843E0">
      <w:pPr>
        <w:keepLines/>
        <w:widowControl w:val="0"/>
        <w:suppressAutoHyphens/>
        <w:jc w:val="center"/>
        <w:rPr>
          <w:bCs/>
        </w:rPr>
      </w:pPr>
    </w:p>
    <w:tbl>
      <w:tblPr>
        <w:tblStyle w:val="a3"/>
        <w:tblW w:w="14737" w:type="dxa"/>
        <w:tblLayout w:type="fixed"/>
        <w:tblLook w:val="04A0" w:firstRow="1" w:lastRow="0" w:firstColumn="1" w:lastColumn="0" w:noHBand="0" w:noVBand="1"/>
      </w:tblPr>
      <w:tblGrid>
        <w:gridCol w:w="700"/>
        <w:gridCol w:w="3123"/>
        <w:gridCol w:w="5244"/>
        <w:gridCol w:w="851"/>
        <w:gridCol w:w="1134"/>
        <w:gridCol w:w="1843"/>
        <w:gridCol w:w="1842"/>
      </w:tblGrid>
      <w:tr w:rsidR="005077FE" w:rsidRPr="0001144D" w:rsidTr="00B64396">
        <w:tc>
          <w:tcPr>
            <w:tcW w:w="700" w:type="dxa"/>
          </w:tcPr>
          <w:p w:rsidR="005077FE" w:rsidRPr="0001144D" w:rsidRDefault="005077FE" w:rsidP="000843E0">
            <w:pPr>
              <w:jc w:val="center"/>
              <w:rPr>
                <w:sz w:val="22"/>
                <w:szCs w:val="22"/>
              </w:rPr>
            </w:pPr>
            <w:r w:rsidRPr="0001144D">
              <w:rPr>
                <w:sz w:val="22"/>
                <w:szCs w:val="22"/>
              </w:rPr>
              <w:t>№ п/п</w:t>
            </w:r>
          </w:p>
        </w:tc>
        <w:tc>
          <w:tcPr>
            <w:tcW w:w="3123" w:type="dxa"/>
          </w:tcPr>
          <w:p w:rsidR="005077FE" w:rsidRPr="0001144D" w:rsidRDefault="005077FE" w:rsidP="000843E0">
            <w:pPr>
              <w:jc w:val="center"/>
              <w:rPr>
                <w:sz w:val="22"/>
                <w:szCs w:val="22"/>
              </w:rPr>
            </w:pPr>
            <w:r w:rsidRPr="0001144D">
              <w:rPr>
                <w:sz w:val="22"/>
                <w:szCs w:val="22"/>
              </w:rPr>
              <w:t>Наименование товара, работ, услуг</w:t>
            </w:r>
          </w:p>
        </w:tc>
        <w:tc>
          <w:tcPr>
            <w:tcW w:w="5244" w:type="dxa"/>
          </w:tcPr>
          <w:p w:rsidR="005077FE" w:rsidRPr="0001144D" w:rsidRDefault="005077FE" w:rsidP="0001144D">
            <w:pPr>
              <w:jc w:val="center"/>
              <w:rPr>
                <w:sz w:val="22"/>
                <w:szCs w:val="22"/>
              </w:rPr>
            </w:pPr>
            <w:r w:rsidRPr="0001144D">
              <w:rPr>
                <w:sz w:val="22"/>
                <w:szCs w:val="22"/>
              </w:rPr>
              <w:t>Описание объекта закупки</w:t>
            </w:r>
          </w:p>
        </w:tc>
        <w:tc>
          <w:tcPr>
            <w:tcW w:w="851" w:type="dxa"/>
          </w:tcPr>
          <w:p w:rsidR="005077FE" w:rsidRPr="0001144D" w:rsidRDefault="005077FE" w:rsidP="00B64396">
            <w:pPr>
              <w:jc w:val="center"/>
              <w:rPr>
                <w:sz w:val="22"/>
                <w:szCs w:val="22"/>
              </w:rPr>
            </w:pPr>
            <w:r w:rsidRPr="0001144D">
              <w:rPr>
                <w:sz w:val="22"/>
                <w:szCs w:val="22"/>
              </w:rPr>
              <w:t>Ед. изм.</w:t>
            </w:r>
          </w:p>
        </w:tc>
        <w:tc>
          <w:tcPr>
            <w:tcW w:w="1134" w:type="dxa"/>
          </w:tcPr>
          <w:p w:rsidR="005077FE" w:rsidRPr="0001144D" w:rsidRDefault="005077FE" w:rsidP="00B64396">
            <w:pPr>
              <w:jc w:val="center"/>
              <w:rPr>
                <w:sz w:val="22"/>
                <w:szCs w:val="22"/>
              </w:rPr>
            </w:pPr>
            <w:r w:rsidRPr="0001144D">
              <w:rPr>
                <w:sz w:val="22"/>
                <w:szCs w:val="22"/>
              </w:rPr>
              <w:t>Кол-во</w:t>
            </w:r>
          </w:p>
        </w:tc>
        <w:tc>
          <w:tcPr>
            <w:tcW w:w="1843" w:type="dxa"/>
          </w:tcPr>
          <w:p w:rsidR="005077FE" w:rsidRPr="0001144D" w:rsidRDefault="005077FE" w:rsidP="00B64396">
            <w:pPr>
              <w:jc w:val="center"/>
              <w:rPr>
                <w:sz w:val="22"/>
                <w:szCs w:val="22"/>
              </w:rPr>
            </w:pPr>
            <w:r w:rsidRPr="0001144D">
              <w:rPr>
                <w:sz w:val="22"/>
                <w:szCs w:val="22"/>
              </w:rPr>
              <w:t>Цена за единицу измерения, руб.</w:t>
            </w:r>
          </w:p>
        </w:tc>
        <w:tc>
          <w:tcPr>
            <w:tcW w:w="1842" w:type="dxa"/>
          </w:tcPr>
          <w:p w:rsidR="005077FE" w:rsidRPr="0001144D" w:rsidRDefault="005077FE" w:rsidP="00B64396">
            <w:pPr>
              <w:jc w:val="center"/>
              <w:rPr>
                <w:sz w:val="22"/>
                <w:szCs w:val="22"/>
              </w:rPr>
            </w:pPr>
            <w:r w:rsidRPr="0001144D">
              <w:rPr>
                <w:sz w:val="22"/>
                <w:szCs w:val="22"/>
              </w:rPr>
              <w:t>Стоимость позиции, руб.</w:t>
            </w:r>
          </w:p>
        </w:tc>
      </w:tr>
      <w:tr w:rsidR="00B64396" w:rsidRPr="0001144D" w:rsidTr="007B3E4D">
        <w:tc>
          <w:tcPr>
            <w:tcW w:w="700" w:type="dxa"/>
          </w:tcPr>
          <w:p w:rsidR="00B64396" w:rsidRPr="0001144D" w:rsidRDefault="00B64396" w:rsidP="00B64396">
            <w:pPr>
              <w:jc w:val="center"/>
              <w:rPr>
                <w:sz w:val="22"/>
                <w:szCs w:val="22"/>
              </w:rPr>
            </w:pPr>
            <w:r w:rsidRPr="0001144D">
              <w:rPr>
                <w:sz w:val="22"/>
                <w:szCs w:val="22"/>
              </w:rPr>
              <w:t>1.</w:t>
            </w:r>
          </w:p>
        </w:tc>
        <w:tc>
          <w:tcPr>
            <w:tcW w:w="3123" w:type="dxa"/>
          </w:tcPr>
          <w:p w:rsidR="00B64396" w:rsidRPr="0001144D" w:rsidRDefault="00B64396" w:rsidP="00B64396">
            <w:pPr>
              <w:pStyle w:val="a4"/>
              <w:jc w:val="center"/>
              <w:rPr>
                <w:sz w:val="22"/>
                <w:szCs w:val="22"/>
              </w:rPr>
            </w:pPr>
            <w:r w:rsidRPr="00B64396">
              <w:rPr>
                <w:sz w:val="22"/>
                <w:szCs w:val="22"/>
              </w:rPr>
              <w:t>Протез голени модульный, в том числе при недоразвитии</w:t>
            </w:r>
          </w:p>
        </w:tc>
        <w:tc>
          <w:tcPr>
            <w:tcW w:w="5244" w:type="dxa"/>
          </w:tcPr>
          <w:p w:rsidR="00B64396" w:rsidRPr="0001144D" w:rsidRDefault="00B64396" w:rsidP="00B64396">
            <w:pPr>
              <w:pStyle w:val="a4"/>
              <w:ind w:firstLine="170"/>
              <w:jc w:val="both"/>
              <w:rPr>
                <w:sz w:val="22"/>
                <w:szCs w:val="22"/>
              </w:rPr>
            </w:pPr>
            <w:r w:rsidRPr="0041054E">
              <w:rPr>
                <w:bCs/>
              </w:rPr>
              <w:t xml:space="preserve">Протез голени модульный должен быть: для инвалидов среднего уровня двигательной активности. Протез должен изготавливаться по индивидуальному техническому процессу. Пробная приемная гильза (1 шт.) должна быть изготовлена методом 3D обработки из прозрачного сополимера полиэтилена. Постоянная приемная гильза(1шт.) должна изготавливаться методом </w:t>
            </w:r>
            <w:proofErr w:type="spellStart"/>
            <w:r w:rsidRPr="0041054E">
              <w:rPr>
                <w:bCs/>
              </w:rPr>
              <w:t>ламинирования</w:t>
            </w:r>
            <w:proofErr w:type="spellEnd"/>
            <w:r w:rsidRPr="0041054E">
              <w:rPr>
                <w:bCs/>
              </w:rPr>
              <w:t xml:space="preserve"> по слепку из акриловых смол холодного отверждения. Вкладной элемент - полимерный силиконовый чехол (2шт.) со средним уровнем стабилизации. Стопа должна быть </w:t>
            </w:r>
            <w:proofErr w:type="spellStart"/>
            <w:r w:rsidRPr="0041054E">
              <w:rPr>
                <w:bCs/>
              </w:rPr>
              <w:t>углепластиковая</w:t>
            </w:r>
            <w:proofErr w:type="spellEnd"/>
            <w:r w:rsidRPr="0041054E">
              <w:rPr>
                <w:bCs/>
              </w:rPr>
              <w:t xml:space="preserve"> со средним уровнем энергосбережения, прочная, обеспечивает безопасную, комфортную ходьбу на неровных поверхностях.  Регулировочно-соединительные устройства должны соответствовать весу пациента. Косметическая облицовка модульная- пенополиуретан, вакуумный клапан, крепление за счет наколенника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4396" w:rsidRPr="0041054E" w:rsidRDefault="00B64396" w:rsidP="00B64396">
            <w:pPr>
              <w:jc w:val="center"/>
              <w:rPr>
                <w:bCs/>
              </w:rPr>
            </w:pPr>
            <w:r w:rsidRPr="0041054E">
              <w:rPr>
                <w:bCs/>
              </w:rPr>
              <w:t>шт</w:t>
            </w:r>
            <w:r>
              <w:rPr>
                <w:bC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4396" w:rsidRPr="0041054E" w:rsidRDefault="00B64396" w:rsidP="00B64396">
            <w:pPr>
              <w:jc w:val="center"/>
              <w:rPr>
                <w:bCs/>
              </w:rPr>
            </w:pPr>
            <w:r w:rsidRPr="0041054E">
              <w:rPr>
                <w:bCs/>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4396" w:rsidRPr="0041054E" w:rsidRDefault="00B64396" w:rsidP="00B64396">
            <w:pPr>
              <w:jc w:val="center"/>
              <w:rPr>
                <w:bCs/>
              </w:rPr>
            </w:pPr>
            <w:r w:rsidRPr="0041054E">
              <w:rPr>
                <w:bCs/>
              </w:rPr>
              <w:t>495 000,00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64396" w:rsidRPr="0041054E" w:rsidRDefault="00B64396" w:rsidP="00B64396">
            <w:pPr>
              <w:jc w:val="center"/>
              <w:rPr>
                <w:bCs/>
              </w:rPr>
            </w:pPr>
            <w:r w:rsidRPr="0041054E">
              <w:rPr>
                <w:bCs/>
              </w:rPr>
              <w:t>495 000,00</w:t>
            </w:r>
          </w:p>
        </w:tc>
      </w:tr>
      <w:tr w:rsidR="00B64396" w:rsidRPr="0001144D" w:rsidTr="0048682B">
        <w:tc>
          <w:tcPr>
            <w:tcW w:w="700" w:type="dxa"/>
          </w:tcPr>
          <w:p w:rsidR="00B64396" w:rsidRPr="0001144D" w:rsidRDefault="00B64396" w:rsidP="00B64396">
            <w:pPr>
              <w:jc w:val="center"/>
              <w:rPr>
                <w:sz w:val="22"/>
                <w:szCs w:val="22"/>
              </w:rPr>
            </w:pPr>
            <w:r w:rsidRPr="0001144D">
              <w:rPr>
                <w:sz w:val="22"/>
                <w:szCs w:val="22"/>
              </w:rPr>
              <w:t>2.</w:t>
            </w:r>
          </w:p>
        </w:tc>
        <w:tc>
          <w:tcPr>
            <w:tcW w:w="3123" w:type="dxa"/>
          </w:tcPr>
          <w:p w:rsidR="00B64396" w:rsidRPr="0001144D" w:rsidRDefault="00B64396" w:rsidP="00B64396">
            <w:pPr>
              <w:pStyle w:val="a4"/>
              <w:jc w:val="center"/>
              <w:rPr>
                <w:sz w:val="22"/>
                <w:szCs w:val="22"/>
              </w:rPr>
            </w:pPr>
            <w:r w:rsidRPr="00B64396">
              <w:rPr>
                <w:sz w:val="22"/>
                <w:szCs w:val="22"/>
              </w:rPr>
              <w:t>Протез голени для купания</w:t>
            </w:r>
          </w:p>
        </w:tc>
        <w:tc>
          <w:tcPr>
            <w:tcW w:w="5244" w:type="dxa"/>
          </w:tcPr>
          <w:p w:rsidR="00B64396" w:rsidRPr="0001144D" w:rsidRDefault="00B64396" w:rsidP="00B64396">
            <w:pPr>
              <w:autoSpaceDE w:val="0"/>
              <w:autoSpaceDN w:val="0"/>
              <w:adjustRightInd w:val="0"/>
              <w:ind w:firstLine="175"/>
              <w:jc w:val="both"/>
              <w:rPr>
                <w:rFonts w:eastAsia="Microsoft YaHei"/>
                <w:sz w:val="22"/>
                <w:szCs w:val="22"/>
              </w:rPr>
            </w:pPr>
            <w:r w:rsidRPr="00B64396">
              <w:rPr>
                <w:rFonts w:eastAsia="Microsoft YaHei"/>
                <w:sz w:val="22"/>
                <w:szCs w:val="22"/>
              </w:rPr>
              <w:t xml:space="preserve">Протез голени для купания должен быть: для инвалидов среднего уровня двигательной активности. Протез должен изготавливаться по индивидуальному техническому процессу. Пробная приемная гильза (1 шт.) должна быть изготовлена методом 3D обработки из прозрачного сополимера полиэтилена. Постоянная приемная гильза(1шт.) должна изготавливаться методом </w:t>
            </w:r>
            <w:proofErr w:type="spellStart"/>
            <w:r w:rsidRPr="00B64396">
              <w:rPr>
                <w:rFonts w:eastAsia="Microsoft YaHei"/>
                <w:sz w:val="22"/>
                <w:szCs w:val="22"/>
              </w:rPr>
              <w:t>ламинирования</w:t>
            </w:r>
            <w:proofErr w:type="spellEnd"/>
            <w:r w:rsidRPr="00B64396">
              <w:rPr>
                <w:rFonts w:eastAsia="Microsoft YaHei"/>
                <w:sz w:val="22"/>
                <w:szCs w:val="22"/>
              </w:rPr>
              <w:t xml:space="preserve"> по слепку из акриловых смол холодного отверждения. Вкладной элемент - полимерный силиконовый чехол (2шт.) со средним уровнем стабилизации. Стопа должна быть специальная влагостойкая, с рифленой подошвенной поверхностью.  Регулировочно-соединительные устройства должны быть влагостойкие и соответствовать весу пациента, вакуумный клапан, крепление за счет наколенника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4396" w:rsidRPr="0041054E" w:rsidRDefault="00B64396" w:rsidP="00B64396">
            <w:pPr>
              <w:jc w:val="center"/>
              <w:rPr>
                <w:bCs/>
              </w:rPr>
            </w:pPr>
            <w:r w:rsidRPr="0041054E">
              <w:rPr>
                <w:bCs/>
              </w:rPr>
              <w:t>шт</w:t>
            </w:r>
            <w:r>
              <w:rPr>
                <w:bC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4396" w:rsidRPr="0041054E" w:rsidRDefault="00B64396" w:rsidP="00B64396">
            <w:pPr>
              <w:jc w:val="center"/>
              <w:rPr>
                <w:bCs/>
              </w:rPr>
            </w:pPr>
            <w:r>
              <w:rPr>
                <w:bCs/>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4396" w:rsidRPr="0041054E" w:rsidRDefault="00B64396" w:rsidP="00B64396">
            <w:pPr>
              <w:jc w:val="center"/>
              <w:rPr>
                <w:bCs/>
              </w:rPr>
            </w:pPr>
            <w:r w:rsidRPr="0041054E">
              <w:rPr>
                <w:bCs/>
              </w:rPr>
              <w:t>495 000,00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64396" w:rsidRPr="0041054E" w:rsidRDefault="00B64396" w:rsidP="00B64396">
            <w:pPr>
              <w:jc w:val="center"/>
              <w:rPr>
                <w:bCs/>
              </w:rPr>
            </w:pPr>
            <w:r w:rsidRPr="0041054E">
              <w:rPr>
                <w:bCs/>
              </w:rPr>
              <w:t>990 000,00</w:t>
            </w:r>
          </w:p>
        </w:tc>
      </w:tr>
      <w:tr w:rsidR="00B64396" w:rsidRPr="0001144D" w:rsidTr="00D853AA">
        <w:tc>
          <w:tcPr>
            <w:tcW w:w="700" w:type="dxa"/>
          </w:tcPr>
          <w:p w:rsidR="00B64396" w:rsidRPr="0001144D" w:rsidRDefault="00B64396" w:rsidP="00B64396">
            <w:pPr>
              <w:jc w:val="center"/>
              <w:rPr>
                <w:sz w:val="22"/>
                <w:szCs w:val="22"/>
              </w:rPr>
            </w:pPr>
            <w:r w:rsidRPr="0001144D">
              <w:rPr>
                <w:sz w:val="22"/>
                <w:szCs w:val="22"/>
              </w:rPr>
              <w:t>3.</w:t>
            </w:r>
          </w:p>
        </w:tc>
        <w:tc>
          <w:tcPr>
            <w:tcW w:w="3123" w:type="dxa"/>
          </w:tcPr>
          <w:p w:rsidR="00B64396" w:rsidRPr="0001144D" w:rsidRDefault="00B64396" w:rsidP="00B64396">
            <w:pPr>
              <w:pStyle w:val="a4"/>
              <w:jc w:val="center"/>
              <w:rPr>
                <w:sz w:val="22"/>
                <w:szCs w:val="22"/>
              </w:rPr>
            </w:pPr>
            <w:r w:rsidRPr="00B64396">
              <w:rPr>
                <w:sz w:val="22"/>
                <w:szCs w:val="22"/>
              </w:rPr>
              <w:t>Протез голени модульный, в том числе при недоразвитии</w:t>
            </w:r>
          </w:p>
        </w:tc>
        <w:tc>
          <w:tcPr>
            <w:tcW w:w="5244" w:type="dxa"/>
          </w:tcPr>
          <w:p w:rsidR="00B64396" w:rsidRPr="0001144D" w:rsidRDefault="00B64396" w:rsidP="00B64396">
            <w:pPr>
              <w:autoSpaceDE w:val="0"/>
              <w:autoSpaceDN w:val="0"/>
              <w:adjustRightInd w:val="0"/>
              <w:ind w:firstLine="175"/>
              <w:jc w:val="both"/>
              <w:rPr>
                <w:rFonts w:eastAsia="Microsoft YaHei"/>
                <w:sz w:val="22"/>
                <w:szCs w:val="22"/>
              </w:rPr>
            </w:pPr>
            <w:r w:rsidRPr="00B64396">
              <w:rPr>
                <w:rFonts w:eastAsia="Microsoft YaHei"/>
                <w:sz w:val="22"/>
                <w:szCs w:val="22"/>
              </w:rPr>
              <w:t xml:space="preserve">Протез голени модульный должен быть: для инвалидов среднего уровня двигательной активности. Протез должен изготавливаться по индивидуальному техническому процессу. Пробная приемная гильза (1 шт.) должна быть изготовлена методом 3D обработки из прозрачного сополимера полиэтилена. Постоянная приемная гильза(1шт.) должна изготавливаться методом </w:t>
            </w:r>
            <w:proofErr w:type="spellStart"/>
            <w:r w:rsidRPr="00B64396">
              <w:rPr>
                <w:rFonts w:eastAsia="Microsoft YaHei"/>
                <w:sz w:val="22"/>
                <w:szCs w:val="22"/>
              </w:rPr>
              <w:t>ламинирования</w:t>
            </w:r>
            <w:proofErr w:type="spellEnd"/>
            <w:r w:rsidRPr="00B64396">
              <w:rPr>
                <w:rFonts w:eastAsia="Microsoft YaHei"/>
                <w:sz w:val="22"/>
                <w:szCs w:val="22"/>
              </w:rPr>
              <w:t xml:space="preserve"> по слепку из акриловых смол холодного отверждения. Вкладной элемент - полимерный силиконовый чехол (2шт.) со средним уровнем стабилизации. Стопа должна обеспечивать регулировку высоты пятки в пределах 5 см нажатием кнопки, жесткость ноги должна подбираться автоматически в зависимости от нагрузки, гарантируя удобную, устойчивую походку.  Регулировочно-соединительные устройства должны соответствовать весу пациента. Косметическая облицовка модульная- пенополиуретан, вакуумный клапан, крепление за счет наколенника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4396" w:rsidRPr="0041054E" w:rsidRDefault="00B64396" w:rsidP="00B64396">
            <w:pPr>
              <w:jc w:val="center"/>
              <w:rPr>
                <w:bCs/>
              </w:rPr>
            </w:pPr>
            <w:r w:rsidRPr="0041054E">
              <w:rPr>
                <w:bCs/>
              </w:rPr>
              <w:t>шт</w:t>
            </w:r>
            <w:r>
              <w:rPr>
                <w:bC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4396" w:rsidRPr="0041054E" w:rsidRDefault="00B64396" w:rsidP="00B64396">
            <w:pPr>
              <w:jc w:val="center"/>
              <w:rPr>
                <w:bCs/>
              </w:rPr>
            </w:pPr>
            <w:r w:rsidRPr="0041054E">
              <w:rPr>
                <w:bCs/>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4396" w:rsidRPr="0041054E" w:rsidRDefault="00B64396" w:rsidP="00B64396">
            <w:pPr>
              <w:jc w:val="center"/>
              <w:rPr>
                <w:bCs/>
              </w:rPr>
            </w:pPr>
            <w:r w:rsidRPr="004830DD">
              <w:rPr>
                <w:bCs/>
              </w:rPr>
              <w:t>611 666,67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64396" w:rsidRPr="0041054E" w:rsidRDefault="00B64396" w:rsidP="00B64396">
            <w:pPr>
              <w:jc w:val="center"/>
              <w:rPr>
                <w:bCs/>
              </w:rPr>
            </w:pPr>
            <w:r w:rsidRPr="004830DD">
              <w:rPr>
                <w:bCs/>
              </w:rPr>
              <w:t>611 666,67</w:t>
            </w:r>
          </w:p>
        </w:tc>
      </w:tr>
      <w:tr w:rsidR="00B64396" w:rsidRPr="0001144D" w:rsidTr="0083325A">
        <w:tc>
          <w:tcPr>
            <w:tcW w:w="9067" w:type="dxa"/>
            <w:gridSpan w:val="3"/>
          </w:tcPr>
          <w:p w:rsidR="00B64396" w:rsidRPr="00B64396" w:rsidRDefault="00B64396" w:rsidP="00B64396">
            <w:pPr>
              <w:autoSpaceDE w:val="0"/>
              <w:autoSpaceDN w:val="0"/>
              <w:adjustRightInd w:val="0"/>
              <w:jc w:val="center"/>
              <w:rPr>
                <w:rFonts w:eastAsia="Microsoft YaHei"/>
                <w:b/>
                <w:sz w:val="22"/>
                <w:szCs w:val="22"/>
              </w:rPr>
            </w:pPr>
            <w:r w:rsidRPr="00B64396">
              <w:rPr>
                <w:rFonts w:eastAsia="Microsoft YaHei"/>
                <w:b/>
                <w:sz w:val="22"/>
                <w:szCs w:val="22"/>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4396" w:rsidRPr="00B64396" w:rsidRDefault="00B64396" w:rsidP="00B64396">
            <w:pPr>
              <w:jc w:val="center"/>
              <w:rPr>
                <w:b/>
                <w:bCs/>
              </w:rPr>
            </w:pPr>
            <w:r w:rsidRPr="00B64396">
              <w:rPr>
                <w:b/>
                <w:bC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4396" w:rsidRPr="00B64396" w:rsidRDefault="00B64396" w:rsidP="00B64396">
            <w:pPr>
              <w:jc w:val="center"/>
              <w:rPr>
                <w:b/>
                <w:bC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4396" w:rsidRPr="00B64396" w:rsidRDefault="00B64396" w:rsidP="00B64396">
            <w:pPr>
              <w:jc w:val="center"/>
              <w:rPr>
                <w:b/>
                <w:bCs/>
              </w:rPr>
            </w:pPr>
          </w:p>
        </w:tc>
        <w:tc>
          <w:tcPr>
            <w:tcW w:w="1842" w:type="dxa"/>
          </w:tcPr>
          <w:p w:rsidR="00B64396" w:rsidRPr="0001144D" w:rsidRDefault="00B64396" w:rsidP="00B64396">
            <w:pPr>
              <w:pStyle w:val="a5"/>
              <w:widowControl/>
              <w:autoSpaceDE/>
              <w:autoSpaceDN w:val="0"/>
              <w:ind w:firstLine="0"/>
              <w:jc w:val="center"/>
              <w:rPr>
                <w:sz w:val="22"/>
                <w:szCs w:val="22"/>
              </w:rPr>
            </w:pPr>
            <w:r w:rsidRPr="00B64396">
              <w:rPr>
                <w:b/>
                <w:bCs/>
              </w:rPr>
              <w:t>2 096 666,67</w:t>
            </w:r>
          </w:p>
        </w:tc>
      </w:tr>
    </w:tbl>
    <w:p w:rsidR="000843E0" w:rsidRPr="00CF1B81" w:rsidRDefault="000843E0" w:rsidP="00CF1B81">
      <w:pPr>
        <w:jc w:val="center"/>
      </w:pPr>
    </w:p>
    <w:p w:rsidR="007E4222" w:rsidRPr="007E4222" w:rsidRDefault="007E4222" w:rsidP="007E4222">
      <w:pPr>
        <w:ind w:firstLine="567"/>
        <w:jc w:val="both"/>
        <w:rPr>
          <w:bCs/>
        </w:rPr>
      </w:pPr>
      <w:r w:rsidRPr="007E4222">
        <w:rPr>
          <w:bCs/>
        </w:rPr>
        <w:t>В соответствии с приказом Минтруда России от 13.02.2018 № 85н «Об утверждении сроков пользования техническими средствами реабилитации, протезами и протезно – ортопедическими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w:t>
      </w:r>
    </w:p>
    <w:p w:rsidR="007E4222" w:rsidRPr="007E4222" w:rsidRDefault="007E4222" w:rsidP="007E4222">
      <w:pPr>
        <w:ind w:firstLine="567"/>
        <w:jc w:val="both"/>
        <w:rPr>
          <w:bCs/>
        </w:rPr>
      </w:pPr>
      <w:r w:rsidRPr="007E4222">
        <w:rPr>
          <w:bCs/>
        </w:rPr>
        <w:t xml:space="preserve">Требования к качеству работ: протез голени модульный, в том числе при недоразвитии должен соответствовать требованиям Государственного стандарта РФ ГОСТ Р 51632-2014 «Технические средства реабилитации людей с ограничениями жизнедеятельности. Общие технические требования и методы испытаний» (п. 4.1.1, п.4.4.1). </w:t>
      </w:r>
    </w:p>
    <w:p w:rsidR="007E4222" w:rsidRPr="007E4222" w:rsidRDefault="007E4222" w:rsidP="007E4222">
      <w:pPr>
        <w:ind w:firstLine="567"/>
        <w:jc w:val="both"/>
        <w:rPr>
          <w:bCs/>
        </w:rPr>
      </w:pPr>
      <w:r w:rsidRPr="007E4222">
        <w:rPr>
          <w:bCs/>
        </w:rPr>
        <w:t xml:space="preserve">Требования к результатам работ: работы по обеспечению протезами будут считаться эффективно исполнены, у инвалида: восстановлены опорная и двигательная функции конечности, созданы условия для предупреждения развития деформации и благоприятного </w:t>
      </w:r>
      <w:bookmarkStart w:id="0" w:name="_GoBack"/>
      <w:bookmarkEnd w:id="0"/>
      <w:r w:rsidRPr="007E4222">
        <w:rPr>
          <w:bCs/>
        </w:rPr>
        <w:t>течения болезни. Работы по обеспечению протезом должны выполняются с надлежащим качеством и в установленные сроки.</w:t>
      </w:r>
    </w:p>
    <w:p w:rsidR="007E4222" w:rsidRPr="007E4222" w:rsidRDefault="007E4222" w:rsidP="007E4222">
      <w:pPr>
        <w:ind w:firstLine="567"/>
        <w:jc w:val="both"/>
        <w:rPr>
          <w:bCs/>
        </w:rPr>
      </w:pPr>
      <w:r w:rsidRPr="007E4222">
        <w:rPr>
          <w:bCs/>
        </w:rPr>
        <w:t xml:space="preserve">Требования к качеству работ: протезы нижних конечностей должны соответствовать требованиям Нац. стандарта РФ ГОСТ Р ИСО 9999-2014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а также соответствуют Республиканскому стандарту РСТ РСФСР 644-80 «Изделия протезно-ортопедические. Общие технические требования». </w:t>
      </w:r>
    </w:p>
    <w:p w:rsidR="007E4222" w:rsidRPr="007E4222" w:rsidRDefault="007E4222" w:rsidP="007E4222">
      <w:pPr>
        <w:ind w:firstLine="567"/>
        <w:jc w:val="both"/>
        <w:rPr>
          <w:bCs/>
        </w:rPr>
      </w:pPr>
      <w:r w:rsidRPr="007E4222">
        <w:rPr>
          <w:bCs/>
        </w:rPr>
        <w:t>Обеспечение возможности ремонта, устранения недостатков при обеспечении Получателей товарами осуществляется в соответствии с Федеральным законом от 07.02.1992 № 2300-1 «О защите прав потребителей».</w:t>
      </w:r>
    </w:p>
    <w:p w:rsidR="007E4222" w:rsidRPr="007E4222" w:rsidRDefault="007E4222" w:rsidP="007E4222">
      <w:pPr>
        <w:ind w:firstLine="567"/>
        <w:jc w:val="both"/>
        <w:rPr>
          <w:bCs/>
        </w:rPr>
      </w:pPr>
      <w:r w:rsidRPr="007E4222">
        <w:rPr>
          <w:bCs/>
        </w:rPr>
        <w:t>Срок предоставления гарантии на выполненные работы должен быть не менее 9 месяцев с момента выдачи изделия получателю.</w:t>
      </w:r>
    </w:p>
    <w:p w:rsidR="007E4222" w:rsidRPr="007E4222" w:rsidRDefault="007E4222" w:rsidP="007E4222">
      <w:pPr>
        <w:ind w:firstLine="567"/>
        <w:jc w:val="both"/>
        <w:rPr>
          <w:bCs/>
        </w:rPr>
      </w:pPr>
      <w:r w:rsidRPr="007E4222">
        <w:rPr>
          <w:bCs/>
        </w:rPr>
        <w:t>Место выполнения работ: Работы должны выполняться на территории Российской Федерации, по месту протезирования, протезы должны предоставляться непосредственно Получателю.</w:t>
      </w:r>
    </w:p>
    <w:p w:rsidR="007E4222" w:rsidRPr="007E4222" w:rsidRDefault="007E4222" w:rsidP="007E4222">
      <w:pPr>
        <w:ind w:firstLine="567"/>
        <w:jc w:val="both"/>
        <w:rPr>
          <w:bCs/>
        </w:rPr>
      </w:pPr>
      <w:r w:rsidRPr="007E4222">
        <w:rPr>
          <w:bCs/>
        </w:rPr>
        <w:t>Сроки завершения работ. Срок проведения протезирования не должен превышать 44 рабочих дня, со дня обращения пострадавшего с направлением филиала № 3 Заказчика. Срок завершения работ не позднее 31.10.2020 года. Срок действия Направления не позднее 15.09.2020 г.</w:t>
      </w:r>
    </w:p>
    <w:p w:rsidR="0001144D" w:rsidRDefault="0001144D" w:rsidP="007E4222">
      <w:pPr>
        <w:ind w:firstLine="567"/>
        <w:jc w:val="both"/>
      </w:pPr>
    </w:p>
    <w:p w:rsidR="007E4222" w:rsidRDefault="007E4222" w:rsidP="00CF1B81">
      <w:pPr>
        <w:jc w:val="center"/>
      </w:pPr>
    </w:p>
    <w:p w:rsidR="007E4222" w:rsidRPr="00CF1B81" w:rsidRDefault="007E4222" w:rsidP="00CF1B81">
      <w:pPr>
        <w:jc w:val="center"/>
      </w:pPr>
    </w:p>
    <w:p w:rsidR="00087248" w:rsidRPr="00CF1B81" w:rsidRDefault="00087248">
      <w:pPr>
        <w:jc w:val="center"/>
      </w:pPr>
    </w:p>
    <w:sectPr w:rsidR="00087248" w:rsidRPr="00CF1B81" w:rsidSect="00087248">
      <w:pgSz w:w="16838" w:h="11906" w:orient="landscape"/>
      <w:pgMar w:top="709" w:right="962"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91"/>
    <w:rsid w:val="0001144D"/>
    <w:rsid w:val="000843E0"/>
    <w:rsid w:val="00087248"/>
    <w:rsid w:val="004F4491"/>
    <w:rsid w:val="005077FE"/>
    <w:rsid w:val="0057139E"/>
    <w:rsid w:val="007E4222"/>
    <w:rsid w:val="00B64396"/>
    <w:rsid w:val="00CF1B81"/>
    <w:rsid w:val="00F5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8EF10-257C-4CED-B632-E8C5A139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3E0"/>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843E0"/>
    <w:pPr>
      <w:spacing w:after="0" w:line="240" w:lineRule="auto"/>
    </w:pPr>
    <w:rPr>
      <w:rFonts w:ascii="Times New Roman" w:eastAsia="Times New Roman" w:hAnsi="Times New Roman" w:cs="Times New Roman"/>
      <w:sz w:val="24"/>
      <w:szCs w:val="24"/>
      <w:lang w:eastAsia="ar-SA"/>
    </w:rPr>
  </w:style>
  <w:style w:type="paragraph" w:customStyle="1" w:styleId="a5">
    <w:name w:val="Обычный.Нормальный абзац"/>
    <w:rsid w:val="000843E0"/>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793</Words>
  <Characters>4525</Characters>
  <Application>Microsoft Office Word</Application>
  <DocSecurity>0</DocSecurity>
  <Lines>37</Lines>
  <Paragraphs>10</Paragraphs>
  <ScaleCrop>false</ScaleCrop>
  <Company>Krasnodar region office of FSI</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Юлия Валерьевна</dc:creator>
  <cp:keywords/>
  <dc:description/>
  <cp:lastModifiedBy>Беседа Юлия Валерьевна</cp:lastModifiedBy>
  <cp:revision>9</cp:revision>
  <dcterms:created xsi:type="dcterms:W3CDTF">2020-04-16T12:27:00Z</dcterms:created>
  <dcterms:modified xsi:type="dcterms:W3CDTF">2020-04-29T10:59:00Z</dcterms:modified>
</cp:coreProperties>
</file>