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FC" w:rsidRPr="00FB46FC" w:rsidRDefault="00FB46FC" w:rsidP="00FB46FC">
      <w:pPr>
        <w:widowControl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FB46FC">
        <w:rPr>
          <w:rFonts w:ascii="Times New Roman" w:eastAsia="Calibri" w:hAnsi="Times New Roman" w:cs="Times New Roman"/>
          <w:sz w:val="24"/>
          <w:szCs w:val="24"/>
        </w:rPr>
        <w:t>Поставка инвалидам и отдельным категориям граждан из числа ветеранов подгузников для взрослых</w:t>
      </w:r>
    </w:p>
    <w:p w:rsidR="00FB46FC" w:rsidRPr="00FB46FC" w:rsidRDefault="00FB46FC" w:rsidP="00FB46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  <w:r w:rsidRPr="00FB46FC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Таблица 1</w:t>
      </w:r>
    </w:p>
    <w:p w:rsidR="00FB46FC" w:rsidRPr="00FB46FC" w:rsidRDefault="00FB46FC" w:rsidP="00FB46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111"/>
        <w:gridCol w:w="992"/>
        <w:gridCol w:w="992"/>
        <w:gridCol w:w="1560"/>
      </w:tblGrid>
      <w:tr w:rsidR="00FB46FC" w:rsidRPr="00FB46FC" w:rsidTr="00262C3F">
        <w:tc>
          <w:tcPr>
            <w:tcW w:w="567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п </w:t>
            </w:r>
            <w:proofErr w:type="spellStart"/>
            <w:r w:rsidRPr="00FB46F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261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Товара </w:t>
            </w:r>
          </w:p>
        </w:tc>
        <w:tc>
          <w:tcPr>
            <w:tcW w:w="4111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Кол-во штук</w:t>
            </w:r>
          </w:p>
        </w:tc>
        <w:tc>
          <w:tcPr>
            <w:tcW w:w="992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Цена за единицу, руб.</w:t>
            </w:r>
          </w:p>
        </w:tc>
        <w:tc>
          <w:tcPr>
            <w:tcW w:w="1560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Итого, руб.</w:t>
            </w:r>
          </w:p>
        </w:tc>
      </w:tr>
      <w:tr w:rsidR="00FB46FC" w:rsidRPr="00FB46FC" w:rsidTr="00262C3F">
        <w:tc>
          <w:tcPr>
            <w:tcW w:w="567" w:type="dxa"/>
          </w:tcPr>
          <w:p w:rsidR="00FB46FC" w:rsidRPr="00FB46FC" w:rsidRDefault="00FB46FC" w:rsidP="00FB46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vAlign w:val="center"/>
          </w:tcPr>
          <w:p w:rsidR="00FB46FC" w:rsidRPr="00FB46FC" w:rsidRDefault="00FB46FC" w:rsidP="00FB46F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Подгузники для взрослых размер S, (объем талии/бедер до 90 см), с полным влагопоглощением не менее 1000 г.</w:t>
            </w:r>
          </w:p>
        </w:tc>
        <w:tc>
          <w:tcPr>
            <w:tcW w:w="4111" w:type="dxa"/>
            <w:vMerge w:val="restart"/>
            <w:vAlign w:val="center"/>
          </w:tcPr>
          <w:p w:rsidR="00FB46FC" w:rsidRPr="00FB46FC" w:rsidRDefault="00FB46FC" w:rsidP="00FB46FC">
            <w:pPr>
              <w:suppressAutoHyphens/>
              <w:autoSpaceDE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</w:pP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t>- Подгузники должны соответствовать требованиям национального стандарта ГОСТ Р 55082-2012. Конструкция подгузников включает в себя (начиная со слоя, контактирующего с кожей человека):</w:t>
            </w:r>
          </w:p>
          <w:p w:rsidR="00FB46FC" w:rsidRPr="00FB46FC" w:rsidRDefault="00FB46FC" w:rsidP="00FB46F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</w:pP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t>- верхний покровный слой;</w:t>
            </w: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br/>
              <w:t xml:space="preserve"> - распределительный </w:t>
            </w:r>
            <w:proofErr w:type="gramStart"/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t>слой;</w:t>
            </w: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t xml:space="preserve"> абсорбирующий слой, состоящий из одного или двух впитывающих слоев;</w:t>
            </w: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br/>
              <w:t>- защитный слой;</w:t>
            </w: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br/>
              <w:t>- нижний покровный слой;</w:t>
            </w: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br/>
              <w:t>- барьерные элементы;</w:t>
            </w: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br/>
              <w:t>- фиксирующие элементы;</w:t>
            </w: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br/>
              <w:t>- индикатор наполнения подгузника (при наличии).</w:t>
            </w: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br/>
              <w:t>Допускаются подгузники без распределительного и нижнего покровного слоев.</w:t>
            </w: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br/>
              <w:t>При отсутствии нижнего покровного слоя его функцию выполняет защитный слой.</w:t>
            </w:r>
          </w:p>
          <w:p w:rsidR="00FB46FC" w:rsidRPr="00FB46FC" w:rsidRDefault="00FB46FC" w:rsidP="00FB46FC">
            <w:pPr>
              <w:suppressAutoHyphens/>
              <w:autoSpaceDE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</w:pPr>
          </w:p>
          <w:p w:rsidR="00FB46FC" w:rsidRPr="00FB46FC" w:rsidRDefault="00FB46FC" w:rsidP="00FB46F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ar-SA"/>
              </w:rPr>
            </w:pPr>
            <w:r w:rsidRPr="00FB46F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0"/>
                <w:szCs w:val="20"/>
                <w:lang w:eastAsia="ar-SA"/>
              </w:rPr>
              <w:t>Техническое исполнение подгузников</w:t>
            </w:r>
          </w:p>
          <w:p w:rsidR="00FB46FC" w:rsidRPr="00FB46FC" w:rsidRDefault="00FB46FC" w:rsidP="00FB46F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</w:pP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t>Подгузники изготовляют в виде готовых трусов или раскроя трусов с фиксирующими элементами, или прокладок-вкладышей.</w:t>
            </w: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br/>
      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</w:t>
            </w:r>
          </w:p>
          <w:p w:rsidR="00FB46FC" w:rsidRPr="00FB46FC" w:rsidRDefault="00FB46FC" w:rsidP="00FB46F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ar-SA"/>
              </w:rPr>
              <w:t>Допускаются другие виды технического исполнения подгузников.</w:t>
            </w: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:rsidR="00FB46FC" w:rsidRPr="00FB46FC" w:rsidRDefault="00FB46FC" w:rsidP="00FB46FC">
            <w:pPr>
              <w:suppressAutoHyphens/>
              <w:autoSpaceDE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ar-SA"/>
              </w:rPr>
              <w:t>9690</w:t>
            </w:r>
          </w:p>
          <w:p w:rsidR="00FB46FC" w:rsidRPr="00FB46FC" w:rsidRDefault="00FB46FC" w:rsidP="00FB46FC">
            <w:pPr>
              <w:suppressAutoHyphens/>
              <w:autoSpaceDE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B46FC" w:rsidRPr="00FB46FC" w:rsidRDefault="00FB46FC" w:rsidP="00FB46FC">
            <w:pPr>
              <w:suppressAutoHyphens/>
              <w:autoSpaceDE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ar-SA"/>
              </w:rPr>
              <w:t>17,47</w:t>
            </w:r>
          </w:p>
        </w:tc>
        <w:tc>
          <w:tcPr>
            <w:tcW w:w="1560" w:type="dxa"/>
          </w:tcPr>
          <w:p w:rsidR="00FB46FC" w:rsidRPr="00FB46FC" w:rsidRDefault="00FB46FC" w:rsidP="00FB46FC">
            <w:pPr>
              <w:suppressAutoHyphens/>
              <w:autoSpaceDE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ar-SA"/>
              </w:rPr>
              <w:t>169 284,30</w:t>
            </w:r>
          </w:p>
        </w:tc>
      </w:tr>
      <w:tr w:rsidR="00FB46FC" w:rsidRPr="00FB46FC" w:rsidTr="00262C3F">
        <w:tc>
          <w:tcPr>
            <w:tcW w:w="567" w:type="dxa"/>
          </w:tcPr>
          <w:p w:rsidR="00FB46FC" w:rsidRPr="00FB46FC" w:rsidRDefault="00FB46FC" w:rsidP="00FB46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vAlign w:val="center"/>
          </w:tcPr>
          <w:p w:rsidR="00FB46FC" w:rsidRPr="00FB46FC" w:rsidRDefault="00FB46FC" w:rsidP="00FB46F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Подгузники для взрослых размер S, (объем талии/бедер до 90 см), с полным влагопоглощением не менее 1400 г.</w:t>
            </w:r>
          </w:p>
        </w:tc>
        <w:tc>
          <w:tcPr>
            <w:tcW w:w="4111" w:type="dxa"/>
            <w:vMerge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9360</w:t>
            </w:r>
          </w:p>
        </w:tc>
        <w:tc>
          <w:tcPr>
            <w:tcW w:w="992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18,21</w:t>
            </w:r>
          </w:p>
        </w:tc>
        <w:tc>
          <w:tcPr>
            <w:tcW w:w="1560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170 445,60</w:t>
            </w:r>
          </w:p>
        </w:tc>
      </w:tr>
      <w:tr w:rsidR="00FB46FC" w:rsidRPr="00FB46FC" w:rsidTr="00262C3F">
        <w:tc>
          <w:tcPr>
            <w:tcW w:w="567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</w:t>
            </w:r>
          </w:p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Align w:val="center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Подгузники для взрослых размер М, (объем талии/бедер до 120 см), с полным влагопоглощением не менее 1300 г.</w:t>
            </w:r>
          </w:p>
        </w:tc>
        <w:tc>
          <w:tcPr>
            <w:tcW w:w="4111" w:type="dxa"/>
            <w:vMerge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75690</w:t>
            </w:r>
          </w:p>
        </w:tc>
        <w:tc>
          <w:tcPr>
            <w:tcW w:w="992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19,80</w:t>
            </w:r>
          </w:p>
        </w:tc>
        <w:tc>
          <w:tcPr>
            <w:tcW w:w="1560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1 498 662,00</w:t>
            </w:r>
          </w:p>
        </w:tc>
      </w:tr>
      <w:tr w:rsidR="00FB46FC" w:rsidRPr="00FB46FC" w:rsidTr="00262C3F">
        <w:tc>
          <w:tcPr>
            <w:tcW w:w="567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vAlign w:val="center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Подгузники для взрослых размер М, (объем талии/бедер до 120 см), с полным влагопоглощением не менее 1800 г.</w:t>
            </w:r>
          </w:p>
        </w:tc>
        <w:tc>
          <w:tcPr>
            <w:tcW w:w="4111" w:type="dxa"/>
            <w:vMerge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26250</w:t>
            </w:r>
          </w:p>
        </w:tc>
        <w:tc>
          <w:tcPr>
            <w:tcW w:w="992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21,71</w:t>
            </w:r>
          </w:p>
        </w:tc>
        <w:tc>
          <w:tcPr>
            <w:tcW w:w="1560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569 887,50</w:t>
            </w:r>
          </w:p>
        </w:tc>
      </w:tr>
      <w:tr w:rsidR="00FB46FC" w:rsidRPr="00FB46FC" w:rsidTr="00262C3F">
        <w:tc>
          <w:tcPr>
            <w:tcW w:w="567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vAlign w:val="center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Подгузники для взрослых размер L, (объем талии/бедер до 150 см), с полным влагопоглощением не менее 1450 г.</w:t>
            </w:r>
          </w:p>
        </w:tc>
        <w:tc>
          <w:tcPr>
            <w:tcW w:w="4111" w:type="dxa"/>
            <w:vMerge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50760</w:t>
            </w:r>
          </w:p>
        </w:tc>
        <w:tc>
          <w:tcPr>
            <w:tcW w:w="992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19,97</w:t>
            </w:r>
          </w:p>
        </w:tc>
        <w:tc>
          <w:tcPr>
            <w:tcW w:w="1560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1 013 677,20</w:t>
            </w:r>
          </w:p>
        </w:tc>
      </w:tr>
      <w:tr w:rsidR="00FB46FC" w:rsidRPr="00FB46FC" w:rsidTr="00262C3F">
        <w:tc>
          <w:tcPr>
            <w:tcW w:w="7939" w:type="dxa"/>
            <w:gridSpan w:val="3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171750</w:t>
            </w:r>
          </w:p>
        </w:tc>
        <w:tc>
          <w:tcPr>
            <w:tcW w:w="992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FB46FC" w:rsidRPr="00FB46FC" w:rsidRDefault="00FB46FC" w:rsidP="00FB46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46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3 421 956,60</w:t>
            </w:r>
          </w:p>
        </w:tc>
      </w:tr>
    </w:tbl>
    <w:p w:rsidR="00262C3F" w:rsidRDefault="00262C3F" w:rsidP="00FB46F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ar-SA"/>
        </w:rPr>
      </w:pPr>
    </w:p>
    <w:p w:rsidR="00FB46FC" w:rsidRPr="00FB46FC" w:rsidRDefault="00FB46FC" w:rsidP="00FB46F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ar-SA"/>
        </w:rPr>
        <w:t>Требования к гарантии качества</w:t>
      </w:r>
    </w:p>
    <w:p w:rsidR="00FB46FC" w:rsidRPr="00FB46FC" w:rsidRDefault="00FB46FC" w:rsidP="00FB46F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Срок годности продукции устанавливает изготовитель в зависимости от применяемого сырья и материалов для изготовления конкретного подгузника и/или группы подгузников.</w:t>
      </w:r>
    </w:p>
    <w:p w:rsidR="00FB46FC" w:rsidRPr="00FB46FC" w:rsidRDefault="00FB46FC" w:rsidP="00FB46F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</w:p>
    <w:p w:rsidR="00FB46FC" w:rsidRPr="00FB46FC" w:rsidRDefault="00FB46FC" w:rsidP="00FB46F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Остаточный срок годности подгузников - на момент выдачи Получателю должен быть не менее 70 % от установленного начала срока годности.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Показатели, обеспечивающие функциональное назначение подгузников, должны соответствовать требованиям, указанным в таблице 2 ГОСТ Р 55082-2012.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ar-SA"/>
        </w:rPr>
      </w:pPr>
      <w:bookmarkStart w:id="0" w:name="_GoBack"/>
      <w:bookmarkEnd w:id="0"/>
      <w:r w:rsidRPr="00FB46F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ar-SA"/>
        </w:rPr>
        <w:lastRenderedPageBreak/>
        <w:t>Маркировка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отмарывание</w:t>
      </w:r>
      <w:proofErr w:type="spellEnd"/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 xml:space="preserve"> краски не допускается.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Маркировка на потребительской упаковке подгузников должна содержать: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наименование страны-изготовителя;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наименование и местонахождение изготовителя (продавца, поставщика), товарный знак (при наличии);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правила по применению подгузника (в виде рисунков или текста);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информацию о наличии специальных ингредиентов;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номер артикула (при наличии);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количество подгузников в упаковке;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дату (месяц, год) изготовления;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срок годности, устанавливаемый изготовителем;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обозначение настоящего стандарта;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штриховой код (при наличии).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т.д.).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ar-SA"/>
        </w:rPr>
      </w:pP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ar-SA"/>
        </w:rPr>
        <w:t>Упаковка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Подгузники в количестве, определяемом производителем, упаковывают в пакеты из полимерной пленки или пачки по </w:t>
      </w:r>
      <w:hyperlink r:id="rId4" w:history="1">
        <w:r w:rsidRPr="00FB46FC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ar-SA"/>
          </w:rPr>
          <w:t>ГОСТ 12303</w:t>
        </w:r>
      </w:hyperlink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, или коробки по </w:t>
      </w:r>
      <w:hyperlink r:id="rId5" w:history="1">
        <w:r w:rsidRPr="00FB46FC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ar-SA"/>
          </w:rPr>
          <w:t>ГОСТ 12301</w:t>
        </w:r>
      </w:hyperlink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, или другую потребительскую упаковку, обеспечивающую сохранность подгузников при транспортировании и хранении.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Швы в пакетах из полимерной пленки должны быть заварены.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 xml:space="preserve"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</w:t>
      </w: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lastRenderedPageBreak/>
        <w:t>изготовленные из одних материалов, с одинаковыми показателями качества, с одной датой изготовления (месяц, год).</w:t>
      </w:r>
    </w:p>
    <w:p w:rsidR="00FB46FC" w:rsidRPr="00FB46FC" w:rsidRDefault="00FB46FC" w:rsidP="00FB46FC">
      <w:pPr>
        <w:shd w:val="clear" w:color="auto" w:fill="FFFFFF"/>
        <w:suppressAutoHyphens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Не допускается механическое повреждение упаковки, открывающее доступ к поверхности подгузника.</w:t>
      </w:r>
    </w:p>
    <w:p w:rsidR="00FB46FC" w:rsidRPr="00FB46FC" w:rsidRDefault="00FB46FC" w:rsidP="00FB4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ar-SA"/>
        </w:rPr>
      </w:pPr>
    </w:p>
    <w:p w:rsidR="00FB46FC" w:rsidRPr="00FB46FC" w:rsidRDefault="00FB46FC" w:rsidP="00FB4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ar-SA"/>
        </w:rPr>
        <w:t>Требования к месту, условиям и срокам (периодам) поставки Товара</w:t>
      </w: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:</w:t>
      </w:r>
    </w:p>
    <w:p w:rsidR="00FB46FC" w:rsidRPr="00FB46FC" w:rsidRDefault="00FB46FC" w:rsidP="00FB46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организовать стационарные пункты выдачи изделий Получателям, которые должны быть (удобные, отапливаемые, иметь наличие туалета и места ожидания);</w:t>
      </w:r>
    </w:p>
    <w:p w:rsidR="00FB46FC" w:rsidRPr="00FB46FC" w:rsidRDefault="00FB46FC" w:rsidP="00FB46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который должен быть установлен с 09.00 до 20.00; </w:t>
      </w:r>
    </w:p>
    <w:p w:rsidR="00FB46FC" w:rsidRPr="00FB46FC" w:rsidRDefault="00FB46FC" w:rsidP="00FB46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FB46FC" w:rsidRPr="00FB46FC" w:rsidRDefault="00FB46FC" w:rsidP="00FB46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 обеспечить исключения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FB46FC" w:rsidRPr="00FB46FC" w:rsidRDefault="00FB46FC" w:rsidP="00FB46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FB46FC" w:rsidRPr="00FB46FC" w:rsidRDefault="00FB46FC" w:rsidP="00FB46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FB46FC" w:rsidRPr="00FB46FC" w:rsidRDefault="00FB46FC" w:rsidP="00FB46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FB46FC" w:rsidRPr="00FB46FC" w:rsidRDefault="00FB46FC" w:rsidP="00FB46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:rsidR="00FB46FC" w:rsidRPr="00FB46FC" w:rsidRDefault="00FB46FC" w:rsidP="00FB46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ar-SA"/>
        </w:rPr>
        <w:t>- отражение в акте приема-передачи Товара реквизитов документа, удосто</w:t>
      </w:r>
      <w:r w:rsidRPr="00FB46F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веряющего личность получателя;</w:t>
      </w:r>
    </w:p>
    <w:p w:rsidR="00FB46FC" w:rsidRPr="00FB46FC" w:rsidRDefault="00FB46FC" w:rsidP="00FB46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предоставление территориальному органу Фонда копии графика поставки инвалидам технических средств реабилитации в электронном виде;</w:t>
      </w:r>
    </w:p>
    <w:p w:rsidR="00FB46FC" w:rsidRPr="00FB46FC" w:rsidRDefault="00FB46FC" w:rsidP="00FB46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6FC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информирование инвалидов о дате, времени и месте поставки.</w:t>
      </w:r>
    </w:p>
    <w:p w:rsidR="00FB46FC" w:rsidRPr="00FB46FC" w:rsidRDefault="00FB46FC" w:rsidP="00FB46F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  <w:lang w:val="de-DE" w:eastAsia="ja-JP" w:bidi="fa-IR"/>
        </w:rPr>
      </w:pPr>
    </w:p>
    <w:p w:rsidR="00FB46FC" w:rsidRPr="00FB46FC" w:rsidRDefault="00FB46FC" w:rsidP="00FB46F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FB46FC">
        <w:rPr>
          <w:rFonts w:ascii="Times New Roman" w:eastAsia="Andale Sans UI" w:hAnsi="Times New Roman" w:cs="Times New Roman"/>
          <w:b/>
          <w:sz w:val="24"/>
          <w:szCs w:val="24"/>
          <w:lang w:val="de-DE" w:eastAsia="ja-JP" w:bidi="fa-IR"/>
        </w:rPr>
        <w:t>Место</w:t>
      </w:r>
      <w:proofErr w:type="spellEnd"/>
      <w:r w:rsidRPr="00FB46FC">
        <w:rPr>
          <w:rFonts w:ascii="Times New Roman" w:eastAsia="Andale Sans UI" w:hAnsi="Times New Roman" w:cs="Times New Roman"/>
          <w:b/>
          <w:sz w:val="24"/>
          <w:szCs w:val="24"/>
          <w:lang w:val="de-DE" w:eastAsia="ja-JP" w:bidi="fa-IR"/>
        </w:rPr>
        <w:t xml:space="preserve"> </w:t>
      </w:r>
      <w:r w:rsidRPr="00FB46FC"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  <w:t>д</w:t>
      </w:r>
      <w:proofErr w:type="spellStart"/>
      <w:r w:rsidRPr="00FB46FC">
        <w:rPr>
          <w:rFonts w:ascii="Times New Roman" w:eastAsia="Andale Sans UI" w:hAnsi="Times New Roman" w:cs="Times New Roman"/>
          <w:b/>
          <w:sz w:val="24"/>
          <w:szCs w:val="24"/>
          <w:lang w:val="de-DE" w:eastAsia="ja-JP" w:bidi="fa-IR"/>
        </w:rPr>
        <w:t>оставки</w:t>
      </w:r>
      <w:proofErr w:type="spellEnd"/>
      <w:r w:rsidRPr="00FB46FC">
        <w:rPr>
          <w:rFonts w:ascii="Times New Roman" w:eastAsia="Andale Sans UI" w:hAnsi="Times New Roman" w:cs="Times New Roman"/>
          <w:b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b/>
          <w:sz w:val="24"/>
          <w:szCs w:val="24"/>
          <w:lang w:val="de-DE" w:eastAsia="ja-JP" w:bidi="fa-IR"/>
        </w:rPr>
        <w:t>товара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: </w:t>
      </w:r>
    </w:p>
    <w:p w:rsidR="00FB46FC" w:rsidRPr="00FB46FC" w:rsidRDefault="00FB46FC" w:rsidP="00FB4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месту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нахождения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Поставщика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, либо</w:t>
      </w:r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месту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жительства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 (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Получателя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)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инвалида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Приморский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край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(г.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Уссурийск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Уссурийский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Хорольский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Михайловский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Октябрьский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Пограничный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Ханкайский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г.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Дальнереченск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г.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Лесозаводск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Черниговский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Спасск-Дальний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пгт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Лучегорск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Красноармейский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Пожарский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Кировский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г.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Владивосток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г.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Артем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г.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Большой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Камень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п.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Славянка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Хасанский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Надеждинский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г.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Фокино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Находка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г.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Партизанск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Партизанский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Лазовский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г.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Дальнегорск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г.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Арсеньев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п.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Кавалерово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Тернейский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Анучинский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Ольгинский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район</w:t>
      </w:r>
      <w:proofErr w:type="spellEnd"/>
      <w:r w:rsidRPr="00FB46FC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)</w:t>
      </w:r>
      <w:r w:rsidRPr="00FB46FC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.</w:t>
      </w:r>
    </w:p>
    <w:p w:rsidR="00FB46FC" w:rsidRPr="00FB46FC" w:rsidRDefault="00FB46FC" w:rsidP="00FB46F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</w:p>
    <w:p w:rsidR="00FB46FC" w:rsidRPr="00FB46FC" w:rsidRDefault="00FB46FC" w:rsidP="00FB46F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  <w:proofErr w:type="spellStart"/>
      <w:r w:rsidRPr="00FB46FC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Поставка</w:t>
      </w:r>
      <w:proofErr w:type="spellEnd"/>
      <w:r w:rsidRPr="00FB46FC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товара</w:t>
      </w:r>
      <w:proofErr w:type="spellEnd"/>
      <w:r w:rsidRPr="00FB46FC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Получателям</w:t>
      </w:r>
      <w:proofErr w:type="spellEnd"/>
      <w:r w:rsidRPr="00FB46FC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>:</w:t>
      </w:r>
      <w:r w:rsidRPr="00FB46FC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 xml:space="preserve"> </w:t>
      </w:r>
    </w:p>
    <w:p w:rsidR="00061BBA" w:rsidRDefault="00FB46FC" w:rsidP="00FB46FC">
      <w:proofErr w:type="gramStart"/>
      <w:r w:rsidRPr="00FB46FC">
        <w:rPr>
          <w:rFonts w:ascii="Times New Roman" w:eastAsia="Andale Sans UI" w:hAnsi="Times New Roman" w:cs="Arial"/>
          <w:sz w:val="24"/>
          <w:szCs w:val="24"/>
          <w:lang w:val="de-DE" w:eastAsia="ja-JP" w:bidi="fa-IR"/>
        </w:rPr>
        <w:t>с</w:t>
      </w:r>
      <w:proofErr w:type="gramEnd"/>
      <w:r w:rsidRPr="00FB46FC">
        <w:rPr>
          <w:rFonts w:ascii="Times New Roman" w:eastAsia="Andale Sans UI" w:hAnsi="Times New Roman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Arial"/>
          <w:sz w:val="24"/>
          <w:szCs w:val="24"/>
          <w:lang w:val="de-DE" w:eastAsia="ja-JP" w:bidi="fa-IR"/>
        </w:rPr>
        <w:t>даты</w:t>
      </w:r>
      <w:proofErr w:type="spellEnd"/>
      <w:r w:rsidRPr="00FB46FC">
        <w:rPr>
          <w:rFonts w:ascii="Times New Roman" w:eastAsia="Andale Sans UI" w:hAnsi="Times New Roman" w:cs="Arial"/>
          <w:sz w:val="24"/>
          <w:szCs w:val="24"/>
          <w:lang w:val="de-DE" w:eastAsia="ja-JP" w:bidi="fa-IR"/>
        </w:rPr>
        <w:t xml:space="preserve"> </w:t>
      </w:r>
      <w:r w:rsidRPr="00FB46FC">
        <w:rPr>
          <w:rFonts w:ascii="Times New Roman" w:eastAsia="Andale Sans UI" w:hAnsi="Times New Roman" w:cs="Arial"/>
          <w:sz w:val="24"/>
          <w:szCs w:val="24"/>
          <w:lang w:eastAsia="ja-JP" w:bidi="fa-IR"/>
        </w:rPr>
        <w:t>заключения</w:t>
      </w:r>
      <w:r w:rsidRPr="00FB46FC">
        <w:rPr>
          <w:rFonts w:ascii="Times New Roman" w:eastAsia="Andale Sans UI" w:hAnsi="Times New Roman" w:cs="Arial"/>
          <w:sz w:val="24"/>
          <w:szCs w:val="24"/>
          <w:lang w:val="de-DE" w:eastAsia="ja-JP" w:bidi="fa-IR"/>
        </w:rPr>
        <w:t xml:space="preserve"> </w:t>
      </w:r>
      <w:proofErr w:type="spellStart"/>
      <w:r w:rsidRPr="00FB46FC">
        <w:rPr>
          <w:rFonts w:ascii="Times New Roman" w:eastAsia="Andale Sans UI" w:hAnsi="Times New Roman" w:cs="Arial"/>
          <w:sz w:val="24"/>
          <w:szCs w:val="24"/>
          <w:lang w:val="de-DE" w:eastAsia="ja-JP" w:bidi="fa-IR"/>
        </w:rPr>
        <w:t>Контракта</w:t>
      </w:r>
      <w:proofErr w:type="spellEnd"/>
      <w:r w:rsidRPr="00FB46FC">
        <w:rPr>
          <w:rFonts w:ascii="Times New Roman" w:eastAsia="Andale Sans UI" w:hAnsi="Times New Roman" w:cs="Arial"/>
          <w:sz w:val="24"/>
          <w:szCs w:val="24"/>
          <w:lang w:val="de-DE" w:eastAsia="ja-JP" w:bidi="fa-IR"/>
        </w:rPr>
        <w:t xml:space="preserve"> </w:t>
      </w:r>
      <w:r w:rsidRPr="00FB46FC">
        <w:rPr>
          <w:rFonts w:ascii="Times New Roman" w:eastAsia="Arial" w:hAnsi="Times New Roman" w:cs="Times New Roman"/>
          <w:sz w:val="24"/>
          <w:szCs w:val="24"/>
          <w:lang w:eastAsia="ar-SA"/>
        </w:rPr>
        <w:t>до 07.08.20г поставка 100%.</w:t>
      </w:r>
      <w:r w:rsidRPr="00FB46F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                                                              </w:t>
      </w:r>
    </w:p>
    <w:sectPr w:rsidR="0006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20"/>
    <w:rsid w:val="00061BBA"/>
    <w:rsid w:val="00262C3F"/>
    <w:rsid w:val="005F1B20"/>
    <w:rsid w:val="00F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84732-1B81-45D0-8218-29C62499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49971" TargetMode="External"/><Relationship Id="rId4" Type="http://schemas.openxmlformats.org/officeDocument/2006/relationships/hyperlink" Target="http://docs.cntd.ru/document/120001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 Ирина</dc:creator>
  <cp:keywords/>
  <dc:description/>
  <cp:lastModifiedBy>Ивашко Ирина</cp:lastModifiedBy>
  <cp:revision>3</cp:revision>
  <dcterms:created xsi:type="dcterms:W3CDTF">2020-02-03T07:02:00Z</dcterms:created>
  <dcterms:modified xsi:type="dcterms:W3CDTF">2020-02-03T07:04:00Z</dcterms:modified>
</cp:coreProperties>
</file>