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C" w:rsidRPr="006B0416" w:rsidRDefault="00C36E2C" w:rsidP="00C36E2C">
      <w:pPr>
        <w:keepNext/>
        <w:keepLines/>
        <w:jc w:val="center"/>
        <w:rPr>
          <w:color w:val="000000"/>
        </w:rPr>
      </w:pPr>
      <w:r>
        <w:rPr>
          <w:rStyle w:val="FontStyle63"/>
        </w:rPr>
        <w:t>Техническое задание</w:t>
      </w:r>
    </w:p>
    <w:p w:rsidR="00C36E2C" w:rsidRDefault="00C36E2C" w:rsidP="00C36E2C">
      <w:pPr>
        <w:widowControl w:val="0"/>
        <w:ind w:firstLine="709"/>
        <w:jc w:val="center"/>
      </w:pPr>
      <w:r w:rsidRPr="005113B5">
        <w:t>выполнение работ по изготовлению протеза предплечья с внешним источником энергии по индивидуальным замерам для инвалида Орловской области в 2020 году</w:t>
      </w:r>
    </w:p>
    <w:p w:rsidR="00C36E2C" w:rsidRPr="00183E8A" w:rsidRDefault="00C36E2C" w:rsidP="00C36E2C">
      <w:pPr>
        <w:widowControl w:val="0"/>
        <w:ind w:firstLine="709"/>
        <w:jc w:val="both"/>
        <w:rPr>
          <w:bCs/>
          <w:sz w:val="16"/>
          <w:szCs w:val="16"/>
        </w:rPr>
      </w:pPr>
    </w:p>
    <w:p w:rsidR="00C36E2C" w:rsidRPr="006956E2" w:rsidRDefault="00C36E2C" w:rsidP="00C36E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6E2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Pr="006956E2">
        <w:rPr>
          <w:rFonts w:ascii="Times New Roman" w:hAnsi="Times New Roman" w:cs="Times New Roman"/>
          <w:b/>
          <w:sz w:val="22"/>
          <w:szCs w:val="22"/>
        </w:rPr>
        <w:t>2 850 000,00</w:t>
      </w:r>
      <w:r w:rsidRPr="006956E2">
        <w:rPr>
          <w:rFonts w:ascii="Times New Roman" w:hAnsi="Times New Roman" w:cs="Times New Roman"/>
          <w:sz w:val="22"/>
          <w:szCs w:val="22"/>
        </w:rPr>
        <w:t xml:space="preserve"> </w:t>
      </w:r>
      <w:r w:rsidRPr="006956E2">
        <w:rPr>
          <w:rFonts w:ascii="Times New Roman" w:hAnsi="Times New Roman" w:cs="Times New Roman"/>
          <w:b/>
          <w:sz w:val="22"/>
          <w:szCs w:val="22"/>
        </w:rPr>
        <w:t>руб.</w:t>
      </w:r>
    </w:p>
    <w:p w:rsidR="00C36E2C" w:rsidRPr="006956E2" w:rsidRDefault="00C36E2C" w:rsidP="00C36E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6E2">
        <w:rPr>
          <w:rFonts w:ascii="Times New Roman" w:hAnsi="Times New Roman" w:cs="Times New Roman"/>
          <w:color w:val="000000"/>
          <w:sz w:val="22"/>
          <w:szCs w:val="22"/>
        </w:rPr>
        <w:t>Цена Контракта включает в себя: В цену Контракта включаются все расходы Исполнителя по исполнению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1418"/>
        <w:gridCol w:w="5812"/>
        <w:gridCol w:w="1275"/>
      </w:tblGrid>
      <w:tr w:rsidR="00C36E2C" w:rsidRPr="00D86894" w:rsidTr="00025414">
        <w:trPr>
          <w:trHeight w:val="914"/>
        </w:trPr>
        <w:tc>
          <w:tcPr>
            <w:tcW w:w="426" w:type="dxa"/>
            <w:vAlign w:val="center"/>
          </w:tcPr>
          <w:p w:rsidR="00C36E2C" w:rsidRPr="006956E2" w:rsidRDefault="00C36E2C" w:rsidP="00025414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6956E2">
              <w:rPr>
                <w:b/>
                <w:sz w:val="20"/>
                <w:szCs w:val="20"/>
                <w:lang w:eastAsia="en-US"/>
              </w:rPr>
              <w:t>№</w:t>
            </w:r>
          </w:p>
          <w:p w:rsidR="00C36E2C" w:rsidRPr="006956E2" w:rsidRDefault="00C36E2C" w:rsidP="00025414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956E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956E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83" w:type="dxa"/>
            <w:vAlign w:val="center"/>
          </w:tcPr>
          <w:p w:rsidR="00C36E2C" w:rsidRPr="006956E2" w:rsidRDefault="00C36E2C" w:rsidP="00025414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</w:tcPr>
          <w:p w:rsidR="00C36E2C" w:rsidRPr="006956E2" w:rsidRDefault="00C36E2C" w:rsidP="00025414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>Наименование по Приказу №86н от 13.02.2018 г.</w:t>
            </w:r>
          </w:p>
        </w:tc>
        <w:tc>
          <w:tcPr>
            <w:tcW w:w="5812" w:type="dxa"/>
            <w:vAlign w:val="center"/>
          </w:tcPr>
          <w:p w:rsidR="00C36E2C" w:rsidRPr="006956E2" w:rsidRDefault="00C36E2C" w:rsidP="00025414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>Описание изделий, изготавливаемых при выполнении работ</w:t>
            </w:r>
          </w:p>
        </w:tc>
        <w:tc>
          <w:tcPr>
            <w:tcW w:w="1275" w:type="dxa"/>
            <w:vAlign w:val="center"/>
          </w:tcPr>
          <w:p w:rsidR="00C36E2C" w:rsidRPr="006956E2" w:rsidRDefault="00C36E2C" w:rsidP="00025414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>Кол-во изделий, изготовляемых при выполнении работ, шт.</w:t>
            </w:r>
          </w:p>
        </w:tc>
      </w:tr>
      <w:tr w:rsidR="00C36E2C" w:rsidRPr="00D86894" w:rsidTr="00025414">
        <w:trPr>
          <w:trHeight w:val="4300"/>
        </w:trPr>
        <w:tc>
          <w:tcPr>
            <w:tcW w:w="426" w:type="dxa"/>
            <w:vAlign w:val="center"/>
          </w:tcPr>
          <w:p w:rsidR="00C36E2C" w:rsidRPr="006956E2" w:rsidRDefault="00C36E2C" w:rsidP="000254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C36E2C" w:rsidRPr="006956E2" w:rsidRDefault="00C36E2C" w:rsidP="000254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Cs/>
                <w:sz w:val="20"/>
                <w:szCs w:val="20"/>
              </w:rPr>
              <w:t>Протез предплечья с внешним источником энергии</w:t>
            </w:r>
          </w:p>
          <w:p w:rsidR="00C36E2C" w:rsidRPr="006956E2" w:rsidRDefault="00C36E2C" w:rsidP="0002541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C36E2C" w:rsidRPr="006956E2" w:rsidRDefault="00C36E2C" w:rsidP="00025414">
            <w:pPr>
              <w:widowControl w:val="0"/>
              <w:jc w:val="center"/>
              <w:rPr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6E2C" w:rsidRPr="006956E2" w:rsidRDefault="00C36E2C" w:rsidP="00025414">
            <w:pPr>
              <w:widowControl w:val="0"/>
              <w:jc w:val="center"/>
              <w:rPr>
                <w:sz w:val="20"/>
                <w:szCs w:val="20"/>
              </w:rPr>
            </w:pPr>
            <w:r w:rsidRPr="006956E2">
              <w:rPr>
                <w:sz w:val="20"/>
                <w:szCs w:val="20"/>
              </w:rPr>
              <w:t>8-04-02 - Протез предплечья с внешним источником энергии</w:t>
            </w:r>
          </w:p>
          <w:p w:rsidR="00C36E2C" w:rsidRPr="006956E2" w:rsidRDefault="00C36E2C" w:rsidP="0002541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C36E2C" w:rsidRPr="006956E2" w:rsidRDefault="00C36E2C" w:rsidP="00025414">
            <w:pPr>
              <w:widowControl w:val="0"/>
              <w:jc w:val="center"/>
              <w:rPr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C36E2C" w:rsidRPr="006956E2" w:rsidRDefault="00C36E2C" w:rsidP="00025414">
            <w:pPr>
              <w:snapToGrid w:val="0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956E2">
              <w:rPr>
                <w:sz w:val="20"/>
                <w:szCs w:val="20"/>
              </w:rPr>
              <w:t xml:space="preserve"> </w:t>
            </w:r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 Протез предплечья с внешним источником энергии с биоэлектрическим программным управлением, с возможностью изменения программы положения кисти через мобильное устройство. </w:t>
            </w:r>
            <w:proofErr w:type="gramStart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Кисть бионическая с программным управлением, с двумя подвижными суставами и независимым электромотором для каждого пальца, большой палец с пассивным отведением и приведением с бесконечным числом положений в заданном диапазоне, с возможностью программирования 24 различных схватов пальцев кисти с помощью смартфона, с пропорциональным управлением скорости перемещения пальцев от двух </w:t>
            </w:r>
            <w:proofErr w:type="spellStart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>миодатчиков</w:t>
            </w:r>
            <w:proofErr w:type="spellEnd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, с подавлением электромагнитной помехи на частоте 50Гц, с одной </w:t>
            </w:r>
            <w:proofErr w:type="spellStart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>аккумуляторгной</w:t>
            </w:r>
            <w:proofErr w:type="spellEnd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 батареей</w:t>
            </w:r>
            <w:proofErr w:type="gramEnd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 на повышенной емкости для возможности бесперебойного пользования в течение дня. Косметическая оболочка силиконовая с подбором цветовых характеристик. В комплект поставки входит: электро-кисть со встроенным лучезапястным узлом с пассивной ротацией, двух электродов, ложемента под батарейку, аккумуляторного кабеля, одна батарейка на 2600 </w:t>
            </w:r>
            <w:proofErr w:type="spellStart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>mAh</w:t>
            </w:r>
            <w:proofErr w:type="spellEnd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, ком-т закладных элементов, зарядное устройство с сетевым адаптером, смартфон на базе OC </w:t>
            </w:r>
            <w:proofErr w:type="spellStart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>Андройд</w:t>
            </w:r>
            <w:proofErr w:type="spellEnd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>миотестер</w:t>
            </w:r>
            <w:proofErr w:type="spellEnd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 для проверки уровня </w:t>
            </w:r>
            <w:proofErr w:type="spellStart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>миосигналов</w:t>
            </w:r>
            <w:proofErr w:type="spellEnd"/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 xml:space="preserve"> пациента. Крепление индивидуальное. Тип протеза: постоянный. </w:t>
            </w:r>
          </w:p>
          <w:p w:rsidR="00C36E2C" w:rsidRPr="006956E2" w:rsidRDefault="00C36E2C" w:rsidP="00025414">
            <w:pPr>
              <w:widowControl w:val="0"/>
              <w:tabs>
                <w:tab w:val="left" w:pos="7685"/>
              </w:tabs>
              <w:ind w:firstLine="34"/>
              <w:jc w:val="both"/>
              <w:rPr>
                <w:sz w:val="20"/>
                <w:szCs w:val="20"/>
              </w:rPr>
            </w:pPr>
            <w:r w:rsidRPr="006956E2">
              <w:rPr>
                <w:rFonts w:eastAsia="SimSun"/>
                <w:sz w:val="20"/>
                <w:szCs w:val="20"/>
                <w:lang w:eastAsia="hi-IN" w:bidi="hi-IN"/>
              </w:rPr>
              <w:t>Гарантийный срок эксплуатации не менее 24 месяцев.</w:t>
            </w:r>
          </w:p>
        </w:tc>
        <w:tc>
          <w:tcPr>
            <w:tcW w:w="1275" w:type="dxa"/>
            <w:vAlign w:val="center"/>
          </w:tcPr>
          <w:p w:rsidR="00C36E2C" w:rsidRPr="006956E2" w:rsidRDefault="00C36E2C" w:rsidP="000254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C36E2C" w:rsidRPr="00D86894" w:rsidTr="00025414">
        <w:trPr>
          <w:trHeight w:val="222"/>
        </w:trPr>
        <w:tc>
          <w:tcPr>
            <w:tcW w:w="9039" w:type="dxa"/>
            <w:gridSpan w:val="4"/>
          </w:tcPr>
          <w:p w:rsidR="00C36E2C" w:rsidRPr="006956E2" w:rsidRDefault="00C36E2C" w:rsidP="00025414">
            <w:pPr>
              <w:widowControl w:val="0"/>
              <w:tabs>
                <w:tab w:val="left" w:pos="7038"/>
              </w:tabs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C36E2C" w:rsidRPr="006956E2" w:rsidRDefault="00C36E2C" w:rsidP="000254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956E2">
              <w:rPr>
                <w:b/>
                <w:sz w:val="20"/>
                <w:szCs w:val="20"/>
              </w:rPr>
              <w:t>1</w:t>
            </w:r>
          </w:p>
        </w:tc>
      </w:tr>
    </w:tbl>
    <w:p w:rsidR="00C36E2C" w:rsidRPr="006956E2" w:rsidRDefault="00C36E2C" w:rsidP="00C36E2C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956E2">
        <w:rPr>
          <w:rFonts w:ascii="Times New Roman" w:hAnsi="Times New Roman" w:cs="Times New Roman"/>
          <w:color w:val="000000"/>
          <w:sz w:val="22"/>
          <w:szCs w:val="22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6956E2">
        <w:rPr>
          <w:rFonts w:ascii="Times New Roman" w:hAnsi="Times New Roman" w:cs="Times New Roman"/>
          <w:color w:val="000000"/>
          <w:sz w:val="22"/>
          <w:szCs w:val="22"/>
        </w:rPr>
        <w:t>абилитации</w:t>
      </w:r>
      <w:proofErr w:type="spellEnd"/>
      <w:r w:rsidRPr="006956E2">
        <w:rPr>
          <w:rFonts w:ascii="Times New Roman" w:hAnsi="Times New Roman" w:cs="Times New Roman"/>
          <w:color w:val="000000"/>
          <w:sz w:val="22"/>
          <w:szCs w:val="22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6956E2">
        <w:rPr>
          <w:rFonts w:ascii="Times New Roman" w:hAnsi="Times New Roman" w:cs="Times New Roman"/>
          <w:color w:val="000000"/>
          <w:sz w:val="22"/>
          <w:szCs w:val="22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C36E2C" w:rsidRPr="006956E2" w:rsidRDefault="00C36E2C" w:rsidP="00C36E2C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956E2">
        <w:rPr>
          <w:rFonts w:ascii="Times New Roman" w:hAnsi="Times New Roman" w:cs="Times New Roman"/>
          <w:color w:val="000000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6956E2">
        <w:rPr>
          <w:rFonts w:ascii="Times New Roman" w:hAnsi="Times New Roman" w:cs="Times New Roman"/>
          <w:color w:val="000000"/>
          <w:sz w:val="22"/>
          <w:szCs w:val="22"/>
        </w:rPr>
        <w:t xml:space="preserve"> терминологии).</w:t>
      </w:r>
    </w:p>
    <w:p w:rsidR="00C36E2C" w:rsidRPr="006956E2" w:rsidRDefault="00C36E2C" w:rsidP="00C36E2C">
      <w:pPr>
        <w:widowControl w:val="0"/>
        <w:contextualSpacing/>
        <w:jc w:val="center"/>
        <w:rPr>
          <w:sz w:val="22"/>
          <w:szCs w:val="22"/>
        </w:rPr>
      </w:pPr>
      <w:r w:rsidRPr="006956E2">
        <w:rPr>
          <w:b/>
          <w:sz w:val="22"/>
          <w:szCs w:val="22"/>
        </w:rPr>
        <w:t>Требования, предъявляемые к выполнению работ.</w:t>
      </w:r>
    </w:p>
    <w:p w:rsidR="00C36E2C" w:rsidRPr="006956E2" w:rsidRDefault="00C36E2C" w:rsidP="00C36E2C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6956E2">
        <w:rPr>
          <w:sz w:val="22"/>
          <w:szCs w:val="22"/>
        </w:rPr>
        <w:t xml:space="preserve">Выполнение работ соответствует ГОСТ </w:t>
      </w:r>
      <w:proofErr w:type="gramStart"/>
      <w:r w:rsidRPr="006956E2">
        <w:rPr>
          <w:sz w:val="22"/>
          <w:szCs w:val="22"/>
        </w:rPr>
        <w:t>Р</w:t>
      </w:r>
      <w:proofErr w:type="gramEnd"/>
      <w:r w:rsidRPr="006956E2">
        <w:rPr>
          <w:sz w:val="22"/>
          <w:szCs w:val="22"/>
        </w:rPr>
        <w:t xml:space="preserve"> 53870-2010 «Услуги по протезированию нижних конечностей. Состав, содержание и порядок предоставления услуг». Протез должен быть классифицирован в соответствии с требованиями Государственного стандарта Российской Федерации ГОСТ </w:t>
      </w:r>
      <w:proofErr w:type="gramStart"/>
      <w:r w:rsidRPr="006956E2">
        <w:rPr>
          <w:sz w:val="22"/>
          <w:szCs w:val="22"/>
        </w:rPr>
        <w:t>Р</w:t>
      </w:r>
      <w:proofErr w:type="gramEnd"/>
      <w:r w:rsidRPr="006956E2">
        <w:rPr>
          <w:sz w:val="22"/>
          <w:szCs w:val="22"/>
        </w:rPr>
        <w:t xml:space="preserve"> 51191-2007, ГОСТ Р 53869-2010.</w:t>
      </w:r>
    </w:p>
    <w:p w:rsidR="00C36E2C" w:rsidRPr="00331B23" w:rsidRDefault="00C36E2C" w:rsidP="00C36E2C">
      <w:pPr>
        <w:widowControl w:val="0"/>
        <w:ind w:firstLine="709"/>
        <w:contextualSpacing/>
        <w:jc w:val="both"/>
        <w:rPr>
          <w:sz w:val="22"/>
          <w:szCs w:val="22"/>
        </w:rPr>
      </w:pPr>
      <w:bookmarkStart w:id="0" w:name="_GoBack"/>
      <w:bookmarkEnd w:id="0"/>
      <w:r w:rsidRPr="00331B23">
        <w:rPr>
          <w:sz w:val="22"/>
          <w:szCs w:val="22"/>
        </w:rPr>
        <w:lastRenderedPageBreak/>
        <w:t>Выполнение работ должно включать:</w:t>
      </w:r>
    </w:p>
    <w:p w:rsidR="00C36E2C" w:rsidRPr="00331B23" w:rsidRDefault="00E941A1" w:rsidP="00C36E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 xml:space="preserve">- комплекс технических, медицинских, социальных мероприятий, а также </w:t>
      </w:r>
      <w:r w:rsidR="00C36E2C" w:rsidRPr="00331B23">
        <w:rPr>
          <w:sz w:val="22"/>
          <w:szCs w:val="22"/>
        </w:rPr>
        <w:t>комплекс мероприятий (замеры, подгонка, примерка и т. д.), в которых необходимо участие Получателя;</w:t>
      </w:r>
    </w:p>
    <w:p w:rsidR="00C36E2C" w:rsidRPr="00331B23" w:rsidRDefault="00C36E2C" w:rsidP="00C36E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331B23">
        <w:rPr>
          <w:sz w:val="22"/>
          <w:szCs w:val="22"/>
        </w:rPr>
        <w:t>- изготовление протеза;</w:t>
      </w:r>
    </w:p>
    <w:p w:rsidR="00C36E2C" w:rsidRPr="00331B23" w:rsidRDefault="00C36E2C" w:rsidP="00C36E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331B23">
        <w:rPr>
          <w:sz w:val="22"/>
          <w:szCs w:val="22"/>
        </w:rPr>
        <w:t>- выдачу результата работ Получателю.</w:t>
      </w:r>
    </w:p>
    <w:p w:rsidR="00C36E2C" w:rsidRPr="00331B23" w:rsidRDefault="00C36E2C" w:rsidP="00C36E2C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 xml:space="preserve">Протез (далее – изделие) должен быть изготовлен по индивидуальным меркам Получателя. Выполнение работ по изготовлению изделия должно соответствовать назначениям </w:t>
      </w:r>
      <w:proofErr w:type="gramStart"/>
      <w:r w:rsidRPr="00331B23">
        <w:rPr>
          <w:sz w:val="22"/>
          <w:szCs w:val="22"/>
        </w:rPr>
        <w:t>медико-социальной</w:t>
      </w:r>
      <w:proofErr w:type="gramEnd"/>
      <w:r w:rsidRPr="00331B23">
        <w:rPr>
          <w:sz w:val="22"/>
          <w:szCs w:val="22"/>
        </w:rPr>
        <w:t xml:space="preserve"> экспертизы, а также врача. При выполнении работ должен быть осуществлен контроль при примерке и обеспечении Получателя указанным изделием. Получатель не должен испытывать болей, избыточного давления, обуславливающих нарушения кровообращения.</w:t>
      </w:r>
    </w:p>
    <w:p w:rsidR="00C36E2C" w:rsidRPr="00331B23" w:rsidRDefault="00C36E2C" w:rsidP="00C36E2C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Выполнение работ должно осуществляться при наличии декларации о соответствии на изделие.</w:t>
      </w:r>
    </w:p>
    <w:p w:rsidR="00C36E2C" w:rsidRPr="00331B23" w:rsidRDefault="00C36E2C" w:rsidP="00C36E2C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Гарантийный срок устанавливается со дня выдачи готового изделия,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C36E2C" w:rsidRPr="00331B23" w:rsidRDefault="00C36E2C" w:rsidP="00C36E2C">
      <w:pPr>
        <w:keepLines/>
        <w:widowControl w:val="0"/>
        <w:tabs>
          <w:tab w:val="left" w:pos="2265"/>
        </w:tabs>
        <w:suppressAutoHyphens/>
        <w:ind w:firstLine="709"/>
        <w:jc w:val="center"/>
        <w:rPr>
          <w:bCs/>
          <w:color w:val="000000"/>
          <w:sz w:val="22"/>
          <w:szCs w:val="22"/>
          <w:lang w:eastAsia="zh-CN"/>
        </w:rPr>
      </w:pPr>
      <w:r w:rsidRPr="00331B23">
        <w:rPr>
          <w:b/>
          <w:color w:val="000000"/>
          <w:sz w:val="22"/>
          <w:szCs w:val="22"/>
          <w:lang w:eastAsia="zh-CN"/>
        </w:rPr>
        <w:t xml:space="preserve">Требования к безопасности </w:t>
      </w:r>
    </w:p>
    <w:p w:rsidR="00C36E2C" w:rsidRPr="00331B23" w:rsidRDefault="00C36E2C" w:rsidP="00C36E2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Выполнение работ должно осуществляться при наличии декларации о соответствии на Изделие.</w:t>
      </w:r>
    </w:p>
    <w:p w:rsidR="00C36E2C" w:rsidRPr="00331B23" w:rsidRDefault="00C36E2C" w:rsidP="00C36E2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bCs/>
          <w:color w:val="000000"/>
          <w:sz w:val="22"/>
          <w:szCs w:val="22"/>
          <w:lang w:eastAsia="zh-CN"/>
        </w:rPr>
      </w:pPr>
      <w:r w:rsidRPr="00331B23">
        <w:rPr>
          <w:b/>
          <w:color w:val="000000"/>
          <w:sz w:val="22"/>
          <w:szCs w:val="22"/>
          <w:lang w:eastAsia="zh-CN"/>
        </w:rPr>
        <w:t xml:space="preserve">Требования к сроку и (или) объему предоставления гарантий </w:t>
      </w:r>
    </w:p>
    <w:p w:rsidR="00C36E2C" w:rsidRPr="00331B23" w:rsidRDefault="00C36E2C" w:rsidP="00C36E2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Гарантийный срок устанавливается со дня выдачи готового изделия и составляет не менее 24 месяцев. В течение этого срока предприятие-изготовитель производит замену или ремонт Изделия бесплатно.</w:t>
      </w:r>
    </w:p>
    <w:p w:rsidR="00C36E2C" w:rsidRPr="00331B23" w:rsidRDefault="00C36E2C" w:rsidP="00C36E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331B23">
        <w:rPr>
          <w:b/>
          <w:sz w:val="22"/>
          <w:szCs w:val="22"/>
        </w:rPr>
        <w:t>Место, условия и сроки выполнения работ</w:t>
      </w:r>
    </w:p>
    <w:p w:rsidR="00C36E2C" w:rsidRPr="00331B23" w:rsidRDefault="00C36E2C" w:rsidP="00C36E2C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Выполнение работ по изготовлению изделия осуществляется по месту нахождения Исполнителя.</w:t>
      </w:r>
    </w:p>
    <w:p w:rsidR="00C36E2C" w:rsidRPr="00331B23" w:rsidRDefault="00C36E2C" w:rsidP="00C36E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ar-SA"/>
        </w:rPr>
      </w:pPr>
      <w:r w:rsidRPr="00331B23">
        <w:rPr>
          <w:sz w:val="22"/>
          <w:szCs w:val="22"/>
        </w:rPr>
        <w:t>Выполнение работ, связанных с проведением</w:t>
      </w:r>
      <w:r w:rsidR="00E941A1" w:rsidRPr="00331B23">
        <w:rPr>
          <w:sz w:val="22"/>
          <w:szCs w:val="22"/>
        </w:rPr>
        <w:t xml:space="preserve"> комплекса технических, медицинских, социальных мероприятий, а также</w:t>
      </w:r>
      <w:r w:rsidRPr="00331B23">
        <w:rPr>
          <w:sz w:val="22"/>
          <w:szCs w:val="22"/>
        </w:rPr>
        <w:t xml:space="preserve"> </w:t>
      </w:r>
      <w:r w:rsidRPr="00331B23">
        <w:rPr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осуществляется по месту нахождения </w:t>
      </w:r>
      <w:r w:rsidRPr="00331B23">
        <w:rPr>
          <w:sz w:val="22"/>
          <w:szCs w:val="22"/>
        </w:rPr>
        <w:t>Исполнителя</w:t>
      </w:r>
      <w:r w:rsidRPr="00331B23">
        <w:rPr>
          <w:sz w:val="22"/>
          <w:szCs w:val="22"/>
          <w:lang w:eastAsia="ar-SA"/>
        </w:rPr>
        <w:t>.</w:t>
      </w:r>
    </w:p>
    <w:p w:rsidR="00C36E2C" w:rsidRPr="00331B23" w:rsidRDefault="00C36E2C" w:rsidP="00C36E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Выполнение работ должно быть осуществлено по индивидуальному заказу Получателя, при предъявлении документа, удостоверяющего личность, и направления, выданного Заказчиком.</w:t>
      </w:r>
    </w:p>
    <w:p w:rsidR="00C36E2C" w:rsidRPr="00331B23" w:rsidRDefault="00C36E2C" w:rsidP="00C36E2C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331B23">
        <w:rPr>
          <w:sz w:val="22"/>
          <w:szCs w:val="22"/>
        </w:rPr>
        <w:t>с даты получения</w:t>
      </w:r>
      <w:proofErr w:type="gramEnd"/>
      <w:r w:rsidRPr="00331B23">
        <w:rPr>
          <w:sz w:val="22"/>
          <w:szCs w:val="22"/>
        </w:rPr>
        <w:t xml:space="preserve"> от Заказчика Реестра Получателя Изделия, которому Заказчиком выдано направление,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C36E2C" w:rsidRPr="00331B23" w:rsidRDefault="00C36E2C" w:rsidP="00C36E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31B23">
        <w:rPr>
          <w:sz w:val="22"/>
          <w:szCs w:val="22"/>
        </w:rPr>
        <w:t xml:space="preserve">Продолжительность по изготовлению   изделия согласно регламентированным срокам обеспечения инвалида (ветерана) техническим средством (изделием), изготавливаемых по индивидуальному заказу с привлечением инвалида (ветерана), со дня обращения инвалида (ветерана) к Исполнителю – не более 60 календарных дней, но </w:t>
      </w:r>
      <w:r w:rsidRPr="00331B23">
        <w:rPr>
          <w:b/>
          <w:sz w:val="22"/>
          <w:szCs w:val="22"/>
        </w:rPr>
        <w:t>не позднее 30.11.2020г. включительно.</w:t>
      </w:r>
    </w:p>
    <w:p w:rsidR="00C36E2C" w:rsidRPr="00331B23" w:rsidRDefault="00C36E2C" w:rsidP="00C36E2C">
      <w:pPr>
        <w:keepNext/>
        <w:widowControl w:val="0"/>
        <w:suppressAutoHyphens/>
        <w:ind w:firstLine="709"/>
        <w:rPr>
          <w:spacing w:val="-1"/>
          <w:sz w:val="22"/>
          <w:szCs w:val="22"/>
          <w:lang w:eastAsia="ar-SA"/>
        </w:rPr>
      </w:pPr>
      <w:r w:rsidRPr="00331B23">
        <w:rPr>
          <w:spacing w:val="-1"/>
          <w:sz w:val="22"/>
          <w:szCs w:val="22"/>
          <w:lang w:eastAsia="ar-SA"/>
        </w:rPr>
        <w:t xml:space="preserve"> 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C36E2C" w:rsidRPr="00331B23" w:rsidRDefault="00C36E2C" w:rsidP="00E941A1">
      <w:pPr>
        <w:keepNext/>
        <w:widowControl w:val="0"/>
        <w:suppressAutoHyphens/>
        <w:ind w:firstLine="709"/>
        <w:jc w:val="both"/>
        <w:rPr>
          <w:spacing w:val="-1"/>
          <w:sz w:val="22"/>
          <w:szCs w:val="22"/>
          <w:lang w:eastAsia="ar-SA"/>
        </w:rPr>
      </w:pPr>
      <w:proofErr w:type="gramStart"/>
      <w:r w:rsidRPr="00331B23">
        <w:rPr>
          <w:spacing w:val="-1"/>
          <w:sz w:val="22"/>
          <w:szCs w:val="22"/>
          <w:lang w:eastAsia="ar-SA"/>
        </w:rPr>
        <w:t xml:space="preserve">Поставщик обязан организовать в г. Орле пункт приема Получателей для проведения </w:t>
      </w:r>
      <w:r w:rsidR="00E941A1" w:rsidRPr="00331B23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331B23">
        <w:rPr>
          <w:spacing w:val="-1"/>
          <w:sz w:val="22"/>
          <w:szCs w:val="22"/>
          <w:lang w:eastAsia="ar-SA"/>
        </w:rPr>
        <w:t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Получателям.</w:t>
      </w:r>
      <w:proofErr w:type="gramEnd"/>
      <w:r w:rsidRPr="00331B23">
        <w:rPr>
          <w:spacing w:val="-1"/>
          <w:sz w:val="22"/>
          <w:szCs w:val="22"/>
          <w:lang w:eastAsia="ar-SA"/>
        </w:rPr>
        <w:t xml:space="preserve"> Пункт выдачи должен иметь туалетную комнату со свободным доступом туда Получателя. Обеспечение работы пункта приема по обслуживанию инвалидов - не менее 5 дней в неделю во время исполнения контракта и гарантийного обслуживания.</w:t>
      </w:r>
    </w:p>
    <w:p w:rsidR="00C36E2C" w:rsidRPr="00331B23" w:rsidRDefault="00C36E2C" w:rsidP="00C36E2C">
      <w:pPr>
        <w:widowControl w:val="0"/>
        <w:suppressAutoHyphens/>
        <w:ind w:left="-142" w:right="433" w:firstLine="426"/>
        <w:contextualSpacing/>
        <w:jc w:val="both"/>
        <w:rPr>
          <w:rFonts w:eastAsia="Calibri"/>
          <w:color w:val="00000A"/>
          <w:sz w:val="16"/>
          <w:szCs w:val="16"/>
          <w:lang w:eastAsia="en-US"/>
        </w:rPr>
      </w:pPr>
    </w:p>
    <w:p w:rsidR="00C36E2C" w:rsidRPr="00331B23" w:rsidRDefault="00C36E2C" w:rsidP="00C36E2C">
      <w:pPr>
        <w:widowControl w:val="0"/>
        <w:ind w:firstLine="709"/>
        <w:jc w:val="both"/>
        <w:rPr>
          <w:sz w:val="22"/>
          <w:szCs w:val="22"/>
        </w:rPr>
      </w:pPr>
      <w:r w:rsidRPr="00331B23">
        <w:rPr>
          <w:bCs/>
          <w:sz w:val="22"/>
          <w:szCs w:val="22"/>
        </w:rPr>
        <w:t xml:space="preserve">Срок выполнения работ: </w:t>
      </w:r>
      <w:r w:rsidRPr="00331B23">
        <w:rPr>
          <w:b/>
          <w:bCs/>
          <w:sz w:val="22"/>
          <w:szCs w:val="22"/>
        </w:rPr>
        <w:t>до 30.11.2020г. включительно</w:t>
      </w:r>
      <w:r w:rsidRPr="00331B23">
        <w:rPr>
          <w:bCs/>
          <w:sz w:val="22"/>
          <w:szCs w:val="22"/>
        </w:rPr>
        <w:t>.</w:t>
      </w:r>
    </w:p>
    <w:p w:rsidR="00C36E2C" w:rsidRPr="00331B23" w:rsidRDefault="00C36E2C" w:rsidP="00C36E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1B23">
        <w:rPr>
          <w:rFonts w:ascii="Times New Roman" w:hAnsi="Times New Roman" w:cs="Times New Roman"/>
          <w:sz w:val="22"/>
          <w:szCs w:val="22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C36E2C" w:rsidRPr="00331B23" w:rsidRDefault="00C36E2C" w:rsidP="00C36E2C">
      <w:pPr>
        <w:widowControl w:val="0"/>
        <w:ind w:firstLine="425"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КБК: 393 1003 0420239570 323 263</w:t>
      </w:r>
    </w:p>
    <w:p w:rsidR="00C36E2C" w:rsidRPr="00331B23" w:rsidRDefault="00C36E2C" w:rsidP="00C36E2C">
      <w:pPr>
        <w:widowControl w:val="0"/>
        <w:ind w:firstLine="425"/>
        <w:jc w:val="both"/>
        <w:rPr>
          <w:sz w:val="22"/>
          <w:szCs w:val="22"/>
        </w:rPr>
      </w:pPr>
      <w:r w:rsidRPr="00331B23">
        <w:rPr>
          <w:sz w:val="22"/>
          <w:szCs w:val="22"/>
        </w:rPr>
        <w:t>ОКПД</w:t>
      </w:r>
      <w:proofErr w:type="gramStart"/>
      <w:r w:rsidRPr="00331B23">
        <w:rPr>
          <w:sz w:val="22"/>
          <w:szCs w:val="22"/>
        </w:rPr>
        <w:t>2</w:t>
      </w:r>
      <w:proofErr w:type="gramEnd"/>
      <w:r w:rsidRPr="00331B23">
        <w:rPr>
          <w:sz w:val="22"/>
          <w:szCs w:val="22"/>
        </w:rPr>
        <w:t>: 32.50.22.190 - Протезы органов человека, не включенные в другие группировки</w:t>
      </w:r>
    </w:p>
    <w:p w:rsidR="004D393C" w:rsidRDefault="00C36E2C" w:rsidP="00C36E2C">
      <w:r w:rsidRPr="00331B23">
        <w:rPr>
          <w:sz w:val="22"/>
          <w:szCs w:val="22"/>
        </w:rPr>
        <w:t>КОЗ:   01.28.08.04.02 - Протез предплечья с внешним источником энергии</w:t>
      </w:r>
    </w:p>
    <w:sectPr w:rsidR="004D393C" w:rsidSect="00C36E2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C"/>
    <w:rsid w:val="00331B23"/>
    <w:rsid w:val="004D393C"/>
    <w:rsid w:val="004F1096"/>
    <w:rsid w:val="005113B5"/>
    <w:rsid w:val="00C36E2C"/>
    <w:rsid w:val="00E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6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C36E2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6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C36E2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5</cp:revision>
  <cp:lastPrinted>2020-05-14T11:18:00Z</cp:lastPrinted>
  <dcterms:created xsi:type="dcterms:W3CDTF">2020-05-13T11:48:00Z</dcterms:created>
  <dcterms:modified xsi:type="dcterms:W3CDTF">2020-05-14T11:33:00Z</dcterms:modified>
</cp:coreProperties>
</file>