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E5" w:rsidRDefault="000C50E5" w:rsidP="000C50E5">
      <w:pPr>
        <w:pStyle w:val="Standard"/>
        <w:jc w:val="both"/>
        <w:rPr>
          <w:b/>
          <w:lang w:val="ru-RU"/>
        </w:rPr>
      </w:pPr>
      <w:r>
        <w:rPr>
          <w:b/>
          <w:lang w:val="ru-RU"/>
        </w:rPr>
        <w:t>Техническое задание</w:t>
      </w:r>
    </w:p>
    <w:p w:rsidR="000C50E5" w:rsidRPr="0008554C" w:rsidRDefault="000C50E5" w:rsidP="000C50E5">
      <w:pPr>
        <w:jc w:val="both"/>
        <w:rPr>
          <w:b/>
        </w:rPr>
      </w:pPr>
      <w:r w:rsidRPr="0008554C">
        <w:rPr>
          <w:b/>
          <w:color w:val="000000"/>
        </w:rPr>
        <w:t xml:space="preserve">на поставку в 2020 году почтовых марок для нужд Государственного учреждения – регионального отделения Фонда социального страхования Российской Федерации по Республике Татарстан </w:t>
      </w:r>
    </w:p>
    <w:p w:rsidR="000C50E5" w:rsidRDefault="000C50E5" w:rsidP="000C50E5">
      <w:pPr>
        <w:jc w:val="both"/>
        <w:rPr>
          <w:b/>
        </w:rPr>
      </w:pPr>
    </w:p>
    <w:tbl>
      <w:tblPr>
        <w:tblW w:w="0" w:type="auto"/>
        <w:tblInd w:w="948" w:type="dxa"/>
        <w:tblLayout w:type="fixed"/>
        <w:tblCellMar>
          <w:top w:w="55" w:type="dxa"/>
          <w:left w:w="55" w:type="dxa"/>
          <w:bottom w:w="55" w:type="dxa"/>
          <w:right w:w="55" w:type="dxa"/>
        </w:tblCellMar>
        <w:tblLook w:val="0000"/>
      </w:tblPr>
      <w:tblGrid>
        <w:gridCol w:w="765"/>
        <w:gridCol w:w="4338"/>
        <w:gridCol w:w="2410"/>
      </w:tblGrid>
      <w:tr w:rsidR="000C50E5" w:rsidRPr="002A5639" w:rsidTr="007C6999">
        <w:tc>
          <w:tcPr>
            <w:tcW w:w="765" w:type="dxa"/>
            <w:tcBorders>
              <w:top w:val="single" w:sz="4" w:space="0" w:color="000000"/>
              <w:left w:val="single" w:sz="4" w:space="0" w:color="000000"/>
              <w:bottom w:val="single" w:sz="4" w:space="0" w:color="000000"/>
            </w:tcBorders>
            <w:shd w:val="clear" w:color="auto" w:fill="auto"/>
            <w:vAlign w:val="center"/>
          </w:tcPr>
          <w:p w:rsidR="000C50E5" w:rsidRPr="002A5639" w:rsidRDefault="000C50E5" w:rsidP="007C6999">
            <w:pPr>
              <w:suppressLineNumbers/>
              <w:snapToGrid w:val="0"/>
              <w:jc w:val="center"/>
              <w:rPr>
                <w:rFonts w:eastAsia="Times New Roman"/>
                <w:b/>
                <w:bCs/>
              </w:rPr>
            </w:pPr>
            <w:r w:rsidRPr="002A5639">
              <w:rPr>
                <w:rFonts w:eastAsia="Times New Roman"/>
                <w:b/>
                <w:bCs/>
              </w:rPr>
              <w:t>№</w:t>
            </w:r>
          </w:p>
        </w:tc>
        <w:tc>
          <w:tcPr>
            <w:tcW w:w="4338" w:type="dxa"/>
            <w:tcBorders>
              <w:top w:val="single" w:sz="4" w:space="0" w:color="000000"/>
              <w:left w:val="single" w:sz="4" w:space="0" w:color="000000"/>
              <w:bottom w:val="single" w:sz="4" w:space="0" w:color="000000"/>
              <w:right w:val="single" w:sz="4" w:space="0" w:color="auto"/>
            </w:tcBorders>
            <w:shd w:val="clear" w:color="auto" w:fill="auto"/>
            <w:vAlign w:val="center"/>
          </w:tcPr>
          <w:p w:rsidR="000C50E5" w:rsidRPr="002A5639" w:rsidRDefault="000C50E5" w:rsidP="007C6999">
            <w:pPr>
              <w:suppressLineNumbers/>
              <w:snapToGrid w:val="0"/>
              <w:jc w:val="center"/>
              <w:rPr>
                <w:rFonts w:eastAsia="Times New Roman"/>
                <w:b/>
                <w:bCs/>
              </w:rPr>
            </w:pPr>
            <w:r w:rsidRPr="002A5639">
              <w:rPr>
                <w:rFonts w:eastAsia="Times New Roman"/>
                <w:b/>
                <w:bCs/>
              </w:rPr>
              <w:t>Государственные знаки почтовой оплаты (почтовые марки)</w:t>
            </w:r>
            <w:r w:rsidRPr="002A5639">
              <w:rPr>
                <w:rFonts w:eastAsia="Times New Roman"/>
                <w:b/>
                <w:bCs/>
                <w:color w:val="000000"/>
              </w:rPr>
              <w:t xml:space="preserve"> </w:t>
            </w:r>
            <w:r w:rsidRPr="002A5639">
              <w:rPr>
                <w:rFonts w:eastAsia="Times New Roman"/>
                <w:b/>
                <w:bCs/>
              </w:rPr>
              <w:t>номиналом, руб.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C50E5" w:rsidRPr="002A5639" w:rsidRDefault="000C50E5" w:rsidP="007C6999">
            <w:pPr>
              <w:suppressLineNumbers/>
              <w:snapToGrid w:val="0"/>
              <w:jc w:val="center"/>
              <w:rPr>
                <w:rFonts w:eastAsia="Times New Roman"/>
                <w:b/>
                <w:bCs/>
              </w:rPr>
            </w:pPr>
            <w:r w:rsidRPr="002A5639">
              <w:rPr>
                <w:rFonts w:eastAsia="Times New Roman"/>
                <w:b/>
                <w:bCs/>
              </w:rPr>
              <w:t>Количество, штук</w:t>
            </w:r>
          </w:p>
        </w:tc>
      </w:tr>
      <w:tr w:rsidR="000C50E5" w:rsidRPr="002A5639" w:rsidTr="007C6999">
        <w:trPr>
          <w:trHeight w:val="117"/>
        </w:trPr>
        <w:tc>
          <w:tcPr>
            <w:tcW w:w="765" w:type="dxa"/>
            <w:tcBorders>
              <w:left w:val="single" w:sz="4" w:space="0" w:color="000000"/>
              <w:bottom w:val="single" w:sz="4" w:space="0" w:color="000000"/>
            </w:tcBorders>
            <w:shd w:val="clear" w:color="auto" w:fill="auto"/>
            <w:vAlign w:val="center"/>
          </w:tcPr>
          <w:p w:rsidR="000C50E5" w:rsidRPr="002A5639" w:rsidRDefault="000C50E5" w:rsidP="007C6999">
            <w:pPr>
              <w:suppressLineNumbers/>
              <w:snapToGrid w:val="0"/>
              <w:jc w:val="center"/>
              <w:rPr>
                <w:rFonts w:eastAsia="Times New Roman"/>
              </w:rPr>
            </w:pPr>
            <w:r w:rsidRPr="002A5639">
              <w:rPr>
                <w:rFonts w:eastAsia="Times New Roman"/>
              </w:rPr>
              <w:t>1</w:t>
            </w:r>
          </w:p>
        </w:tc>
        <w:tc>
          <w:tcPr>
            <w:tcW w:w="4338" w:type="dxa"/>
            <w:tcBorders>
              <w:left w:val="single" w:sz="4" w:space="0" w:color="000000"/>
              <w:bottom w:val="single" w:sz="4" w:space="0" w:color="000000"/>
              <w:right w:val="single" w:sz="4" w:space="0" w:color="auto"/>
            </w:tcBorders>
            <w:shd w:val="clear" w:color="auto" w:fill="auto"/>
            <w:vAlign w:val="center"/>
          </w:tcPr>
          <w:p w:rsidR="000C50E5" w:rsidRPr="0008554C" w:rsidRDefault="000C50E5" w:rsidP="007C6999">
            <w:pPr>
              <w:jc w:val="center"/>
              <w:rPr>
                <w:bCs/>
              </w:rPr>
            </w:pPr>
            <w:r w:rsidRPr="0008554C">
              <w:rPr>
                <w:bCs/>
              </w:rPr>
              <w:t>100,00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C50E5" w:rsidRPr="0008554C" w:rsidRDefault="000C50E5" w:rsidP="007C6999">
            <w:pPr>
              <w:ind w:left="27"/>
              <w:jc w:val="center"/>
              <w:rPr>
                <w:bCs/>
              </w:rPr>
            </w:pPr>
            <w:r w:rsidRPr="0008554C">
              <w:rPr>
                <w:bCs/>
              </w:rPr>
              <w:t>100</w:t>
            </w:r>
          </w:p>
        </w:tc>
      </w:tr>
      <w:tr w:rsidR="000C50E5" w:rsidRPr="002A5639" w:rsidTr="007C6999">
        <w:tc>
          <w:tcPr>
            <w:tcW w:w="765" w:type="dxa"/>
            <w:tcBorders>
              <w:left w:val="single" w:sz="4" w:space="0" w:color="000000"/>
              <w:bottom w:val="single" w:sz="4" w:space="0" w:color="000000"/>
            </w:tcBorders>
            <w:shd w:val="clear" w:color="auto" w:fill="auto"/>
            <w:vAlign w:val="center"/>
          </w:tcPr>
          <w:p w:rsidR="000C50E5" w:rsidRPr="002A5639" w:rsidRDefault="000C50E5" w:rsidP="007C6999">
            <w:pPr>
              <w:suppressLineNumbers/>
              <w:snapToGrid w:val="0"/>
              <w:jc w:val="center"/>
              <w:rPr>
                <w:rFonts w:eastAsia="Times New Roman"/>
              </w:rPr>
            </w:pPr>
            <w:r w:rsidRPr="002A5639">
              <w:rPr>
                <w:rFonts w:eastAsia="Times New Roman"/>
              </w:rPr>
              <w:t>2</w:t>
            </w:r>
          </w:p>
        </w:tc>
        <w:tc>
          <w:tcPr>
            <w:tcW w:w="4338" w:type="dxa"/>
            <w:tcBorders>
              <w:left w:val="single" w:sz="4" w:space="0" w:color="000000"/>
              <w:bottom w:val="single" w:sz="4" w:space="0" w:color="000000"/>
              <w:right w:val="single" w:sz="4" w:space="0" w:color="auto"/>
            </w:tcBorders>
            <w:shd w:val="clear" w:color="auto" w:fill="auto"/>
            <w:vAlign w:val="center"/>
          </w:tcPr>
          <w:p w:rsidR="000C50E5" w:rsidRPr="0008554C" w:rsidRDefault="000C50E5" w:rsidP="007C6999">
            <w:pPr>
              <w:jc w:val="center"/>
              <w:rPr>
                <w:bCs/>
              </w:rPr>
            </w:pPr>
            <w:r w:rsidRPr="0008554C">
              <w:rPr>
                <w:bCs/>
              </w:rPr>
              <w:t>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C50E5" w:rsidRPr="0008554C" w:rsidRDefault="000C50E5" w:rsidP="007C6999">
            <w:pPr>
              <w:ind w:left="27"/>
              <w:jc w:val="center"/>
              <w:rPr>
                <w:bCs/>
              </w:rPr>
            </w:pPr>
            <w:r w:rsidRPr="0008554C">
              <w:rPr>
                <w:bCs/>
              </w:rPr>
              <w:t>9030</w:t>
            </w:r>
          </w:p>
        </w:tc>
      </w:tr>
      <w:tr w:rsidR="000C50E5" w:rsidRPr="002A5639" w:rsidTr="007C6999">
        <w:tc>
          <w:tcPr>
            <w:tcW w:w="765" w:type="dxa"/>
            <w:tcBorders>
              <w:left w:val="single" w:sz="4" w:space="0" w:color="000000"/>
              <w:bottom w:val="single" w:sz="4" w:space="0" w:color="000000"/>
            </w:tcBorders>
            <w:shd w:val="clear" w:color="auto" w:fill="auto"/>
            <w:vAlign w:val="center"/>
          </w:tcPr>
          <w:p w:rsidR="000C50E5" w:rsidRPr="002A5639" w:rsidRDefault="000C50E5" w:rsidP="007C6999">
            <w:pPr>
              <w:suppressLineNumbers/>
              <w:snapToGrid w:val="0"/>
              <w:jc w:val="center"/>
              <w:rPr>
                <w:rFonts w:eastAsia="Times New Roman"/>
              </w:rPr>
            </w:pPr>
            <w:r w:rsidRPr="002A5639">
              <w:rPr>
                <w:rFonts w:eastAsia="Times New Roman"/>
              </w:rPr>
              <w:t>3</w:t>
            </w:r>
          </w:p>
        </w:tc>
        <w:tc>
          <w:tcPr>
            <w:tcW w:w="4338" w:type="dxa"/>
            <w:tcBorders>
              <w:left w:val="single" w:sz="4" w:space="0" w:color="000000"/>
              <w:bottom w:val="single" w:sz="4" w:space="0" w:color="000000"/>
              <w:right w:val="single" w:sz="4" w:space="0" w:color="auto"/>
            </w:tcBorders>
            <w:shd w:val="clear" w:color="auto" w:fill="auto"/>
            <w:vAlign w:val="bottom"/>
          </w:tcPr>
          <w:p w:rsidR="000C50E5" w:rsidRPr="0008554C" w:rsidRDefault="000C50E5" w:rsidP="007C6999">
            <w:pPr>
              <w:jc w:val="center"/>
            </w:pPr>
            <w:r w:rsidRPr="0008554C">
              <w:t>25,00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C50E5" w:rsidRPr="0008554C" w:rsidRDefault="000C50E5" w:rsidP="007C6999">
            <w:pPr>
              <w:ind w:left="27"/>
              <w:jc w:val="center"/>
            </w:pPr>
            <w:r w:rsidRPr="0008554C">
              <w:t>6045</w:t>
            </w:r>
          </w:p>
        </w:tc>
      </w:tr>
      <w:tr w:rsidR="000C50E5" w:rsidRPr="002A5639" w:rsidTr="007C6999">
        <w:tc>
          <w:tcPr>
            <w:tcW w:w="765" w:type="dxa"/>
            <w:tcBorders>
              <w:left w:val="single" w:sz="4" w:space="0" w:color="000000"/>
              <w:bottom w:val="single" w:sz="4" w:space="0" w:color="000000"/>
            </w:tcBorders>
            <w:shd w:val="clear" w:color="auto" w:fill="auto"/>
            <w:vAlign w:val="center"/>
          </w:tcPr>
          <w:p w:rsidR="000C50E5" w:rsidRPr="002A5639" w:rsidRDefault="000C50E5" w:rsidP="007C6999">
            <w:pPr>
              <w:suppressLineNumbers/>
              <w:snapToGrid w:val="0"/>
              <w:jc w:val="center"/>
              <w:rPr>
                <w:rFonts w:eastAsia="Times New Roman"/>
              </w:rPr>
            </w:pPr>
            <w:r w:rsidRPr="002A5639">
              <w:rPr>
                <w:rFonts w:eastAsia="Times New Roman"/>
              </w:rPr>
              <w:t>4</w:t>
            </w:r>
          </w:p>
        </w:tc>
        <w:tc>
          <w:tcPr>
            <w:tcW w:w="4338" w:type="dxa"/>
            <w:tcBorders>
              <w:left w:val="single" w:sz="4" w:space="0" w:color="000000"/>
              <w:bottom w:val="single" w:sz="4" w:space="0" w:color="000000"/>
              <w:right w:val="single" w:sz="4" w:space="0" w:color="auto"/>
            </w:tcBorders>
            <w:shd w:val="clear" w:color="auto" w:fill="auto"/>
            <w:vAlign w:val="bottom"/>
          </w:tcPr>
          <w:p w:rsidR="000C50E5" w:rsidRPr="0008554C" w:rsidRDefault="000C50E5" w:rsidP="007C6999">
            <w:pPr>
              <w:jc w:val="center"/>
            </w:pPr>
            <w:r w:rsidRPr="0008554C">
              <w:t>23,00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C50E5" w:rsidRPr="0008554C" w:rsidRDefault="000C50E5" w:rsidP="007C6999">
            <w:pPr>
              <w:ind w:left="27"/>
              <w:jc w:val="center"/>
            </w:pPr>
            <w:r w:rsidRPr="0008554C">
              <w:t>8 700</w:t>
            </w:r>
          </w:p>
        </w:tc>
      </w:tr>
      <w:tr w:rsidR="000C50E5" w:rsidRPr="002A5639" w:rsidTr="007C6999">
        <w:tc>
          <w:tcPr>
            <w:tcW w:w="765" w:type="dxa"/>
            <w:tcBorders>
              <w:left w:val="single" w:sz="4" w:space="0" w:color="000000"/>
              <w:bottom w:val="single" w:sz="4" w:space="0" w:color="000000"/>
            </w:tcBorders>
            <w:shd w:val="clear" w:color="auto" w:fill="auto"/>
            <w:vAlign w:val="center"/>
          </w:tcPr>
          <w:p w:rsidR="000C50E5" w:rsidRPr="002A5639" w:rsidRDefault="000C50E5" w:rsidP="007C6999">
            <w:pPr>
              <w:suppressLineNumbers/>
              <w:snapToGrid w:val="0"/>
              <w:jc w:val="center"/>
              <w:rPr>
                <w:rFonts w:eastAsia="Times New Roman"/>
              </w:rPr>
            </w:pPr>
            <w:r w:rsidRPr="002A5639">
              <w:rPr>
                <w:rFonts w:eastAsia="Times New Roman"/>
              </w:rPr>
              <w:t>5</w:t>
            </w:r>
          </w:p>
        </w:tc>
        <w:tc>
          <w:tcPr>
            <w:tcW w:w="4338" w:type="dxa"/>
            <w:tcBorders>
              <w:left w:val="single" w:sz="4" w:space="0" w:color="000000"/>
              <w:bottom w:val="single" w:sz="4" w:space="0" w:color="000000"/>
              <w:right w:val="single" w:sz="4" w:space="0" w:color="auto"/>
            </w:tcBorders>
            <w:shd w:val="clear" w:color="auto" w:fill="auto"/>
            <w:vAlign w:val="bottom"/>
          </w:tcPr>
          <w:p w:rsidR="000C50E5" w:rsidRPr="0008554C" w:rsidRDefault="000C50E5" w:rsidP="007C6999">
            <w:pPr>
              <w:jc w:val="center"/>
            </w:pPr>
            <w:r w:rsidRPr="0008554C">
              <w:t>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C50E5" w:rsidRPr="0008554C" w:rsidRDefault="000C50E5" w:rsidP="007C6999">
            <w:pPr>
              <w:ind w:left="27"/>
              <w:jc w:val="center"/>
            </w:pPr>
            <w:r w:rsidRPr="0008554C">
              <w:t>9 260</w:t>
            </w:r>
          </w:p>
        </w:tc>
      </w:tr>
      <w:tr w:rsidR="000C50E5" w:rsidRPr="002A5639" w:rsidTr="007C6999">
        <w:tc>
          <w:tcPr>
            <w:tcW w:w="765" w:type="dxa"/>
            <w:tcBorders>
              <w:left w:val="single" w:sz="4" w:space="0" w:color="000000"/>
              <w:bottom w:val="single" w:sz="4" w:space="0" w:color="000000"/>
            </w:tcBorders>
            <w:shd w:val="clear" w:color="auto" w:fill="auto"/>
            <w:vAlign w:val="center"/>
          </w:tcPr>
          <w:p w:rsidR="000C50E5" w:rsidRPr="002A5639" w:rsidRDefault="000C50E5" w:rsidP="007C6999">
            <w:pPr>
              <w:suppressLineNumbers/>
              <w:snapToGrid w:val="0"/>
              <w:jc w:val="center"/>
              <w:rPr>
                <w:rFonts w:eastAsia="Times New Roman"/>
              </w:rPr>
            </w:pPr>
            <w:r w:rsidRPr="002A5639">
              <w:rPr>
                <w:rFonts w:eastAsia="Times New Roman"/>
              </w:rPr>
              <w:t>6</w:t>
            </w:r>
          </w:p>
        </w:tc>
        <w:tc>
          <w:tcPr>
            <w:tcW w:w="4338" w:type="dxa"/>
            <w:tcBorders>
              <w:left w:val="single" w:sz="4" w:space="0" w:color="000000"/>
              <w:bottom w:val="single" w:sz="4" w:space="0" w:color="000000"/>
              <w:right w:val="single" w:sz="4" w:space="0" w:color="auto"/>
            </w:tcBorders>
            <w:shd w:val="clear" w:color="auto" w:fill="auto"/>
            <w:vAlign w:val="bottom"/>
          </w:tcPr>
          <w:p w:rsidR="000C50E5" w:rsidRPr="0008554C" w:rsidRDefault="000C50E5" w:rsidP="007C6999">
            <w:pPr>
              <w:jc w:val="center"/>
            </w:pPr>
            <w:r w:rsidRPr="0008554C">
              <w:t>6,00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C50E5" w:rsidRPr="0008554C" w:rsidRDefault="000C50E5" w:rsidP="007C6999">
            <w:pPr>
              <w:ind w:left="27"/>
              <w:jc w:val="center"/>
            </w:pPr>
            <w:r w:rsidRPr="0008554C">
              <w:t>1 500</w:t>
            </w:r>
          </w:p>
        </w:tc>
      </w:tr>
      <w:tr w:rsidR="000C50E5" w:rsidRPr="002A5639" w:rsidTr="007C6999">
        <w:tc>
          <w:tcPr>
            <w:tcW w:w="765" w:type="dxa"/>
            <w:tcBorders>
              <w:left w:val="single" w:sz="4" w:space="0" w:color="000000"/>
              <w:bottom w:val="single" w:sz="4" w:space="0" w:color="000000"/>
            </w:tcBorders>
            <w:shd w:val="clear" w:color="auto" w:fill="auto"/>
            <w:vAlign w:val="center"/>
          </w:tcPr>
          <w:p w:rsidR="000C50E5" w:rsidRPr="002A5639" w:rsidRDefault="000C50E5" w:rsidP="007C6999">
            <w:pPr>
              <w:suppressLineNumbers/>
              <w:snapToGrid w:val="0"/>
              <w:jc w:val="center"/>
              <w:rPr>
                <w:rFonts w:eastAsia="Times New Roman"/>
              </w:rPr>
            </w:pPr>
            <w:r>
              <w:rPr>
                <w:rFonts w:eastAsia="Times New Roman"/>
              </w:rPr>
              <w:t>7</w:t>
            </w:r>
          </w:p>
        </w:tc>
        <w:tc>
          <w:tcPr>
            <w:tcW w:w="4338" w:type="dxa"/>
            <w:tcBorders>
              <w:left w:val="single" w:sz="4" w:space="0" w:color="000000"/>
              <w:bottom w:val="single" w:sz="4" w:space="0" w:color="000000"/>
              <w:right w:val="single" w:sz="4" w:space="0" w:color="auto"/>
            </w:tcBorders>
            <w:shd w:val="clear" w:color="auto" w:fill="auto"/>
            <w:vAlign w:val="bottom"/>
          </w:tcPr>
          <w:p w:rsidR="000C50E5" w:rsidRPr="0008554C" w:rsidRDefault="000C50E5" w:rsidP="007C6999">
            <w:pPr>
              <w:jc w:val="center"/>
            </w:pPr>
            <w:r w:rsidRPr="0008554C">
              <w:t>5,00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C50E5" w:rsidRPr="0008554C" w:rsidRDefault="000C50E5" w:rsidP="007C6999">
            <w:pPr>
              <w:ind w:left="27"/>
              <w:jc w:val="center"/>
            </w:pPr>
            <w:r w:rsidRPr="0008554C">
              <w:t>4 727</w:t>
            </w:r>
          </w:p>
        </w:tc>
      </w:tr>
      <w:tr w:rsidR="000C50E5" w:rsidRPr="002A5639" w:rsidTr="007C6999">
        <w:tc>
          <w:tcPr>
            <w:tcW w:w="765" w:type="dxa"/>
            <w:tcBorders>
              <w:left w:val="single" w:sz="4" w:space="0" w:color="000000"/>
              <w:bottom w:val="single" w:sz="4" w:space="0" w:color="000000"/>
            </w:tcBorders>
            <w:shd w:val="clear" w:color="auto" w:fill="auto"/>
            <w:vAlign w:val="center"/>
          </w:tcPr>
          <w:p w:rsidR="000C50E5" w:rsidRPr="002A5639" w:rsidRDefault="000C50E5" w:rsidP="007C6999">
            <w:pPr>
              <w:suppressLineNumbers/>
              <w:snapToGrid w:val="0"/>
              <w:jc w:val="center"/>
              <w:rPr>
                <w:rFonts w:eastAsia="Times New Roman"/>
              </w:rPr>
            </w:pPr>
            <w:r>
              <w:rPr>
                <w:rFonts w:eastAsia="Times New Roman"/>
              </w:rPr>
              <w:t>8</w:t>
            </w:r>
          </w:p>
        </w:tc>
        <w:tc>
          <w:tcPr>
            <w:tcW w:w="4338" w:type="dxa"/>
            <w:tcBorders>
              <w:left w:val="single" w:sz="4" w:space="0" w:color="000000"/>
              <w:bottom w:val="single" w:sz="4" w:space="0" w:color="000000"/>
              <w:right w:val="single" w:sz="4" w:space="0" w:color="auto"/>
            </w:tcBorders>
            <w:shd w:val="clear" w:color="auto" w:fill="auto"/>
            <w:vAlign w:val="bottom"/>
          </w:tcPr>
          <w:p w:rsidR="000C50E5" w:rsidRPr="0008554C" w:rsidRDefault="000C50E5" w:rsidP="007C6999">
            <w:pPr>
              <w:jc w:val="center"/>
            </w:pPr>
            <w:r w:rsidRPr="0008554C">
              <w:t>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C50E5" w:rsidRPr="0008554C" w:rsidRDefault="000C50E5" w:rsidP="007C6999">
            <w:pPr>
              <w:ind w:left="27"/>
              <w:jc w:val="center"/>
            </w:pPr>
            <w:r w:rsidRPr="0008554C">
              <w:t>9 100</w:t>
            </w:r>
          </w:p>
        </w:tc>
      </w:tr>
      <w:tr w:rsidR="000C50E5" w:rsidRPr="002A5639" w:rsidTr="007C6999">
        <w:tc>
          <w:tcPr>
            <w:tcW w:w="765" w:type="dxa"/>
            <w:tcBorders>
              <w:left w:val="single" w:sz="4" w:space="0" w:color="000000"/>
              <w:bottom w:val="single" w:sz="4" w:space="0" w:color="000000"/>
            </w:tcBorders>
            <w:shd w:val="clear" w:color="auto" w:fill="auto"/>
            <w:vAlign w:val="center"/>
          </w:tcPr>
          <w:p w:rsidR="000C50E5" w:rsidRDefault="000C50E5" w:rsidP="007C6999">
            <w:pPr>
              <w:suppressLineNumbers/>
              <w:snapToGrid w:val="0"/>
              <w:jc w:val="center"/>
              <w:rPr>
                <w:rFonts w:eastAsia="Times New Roman"/>
              </w:rPr>
            </w:pPr>
            <w:r>
              <w:rPr>
                <w:rFonts w:eastAsia="Times New Roman"/>
              </w:rPr>
              <w:t>9</w:t>
            </w:r>
          </w:p>
        </w:tc>
        <w:tc>
          <w:tcPr>
            <w:tcW w:w="4338" w:type="dxa"/>
            <w:tcBorders>
              <w:left w:val="single" w:sz="4" w:space="0" w:color="000000"/>
              <w:bottom w:val="single" w:sz="4" w:space="0" w:color="000000"/>
              <w:right w:val="single" w:sz="4" w:space="0" w:color="auto"/>
            </w:tcBorders>
            <w:shd w:val="clear" w:color="auto" w:fill="auto"/>
            <w:vAlign w:val="bottom"/>
          </w:tcPr>
          <w:p w:rsidR="000C50E5" w:rsidRPr="0008554C" w:rsidRDefault="000C50E5" w:rsidP="007C6999">
            <w:pPr>
              <w:jc w:val="center"/>
            </w:pPr>
            <w:r w:rsidRPr="0008554C">
              <w:t>3,00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C50E5" w:rsidRPr="0008554C" w:rsidRDefault="000C50E5" w:rsidP="007C6999">
            <w:pPr>
              <w:ind w:left="27"/>
              <w:jc w:val="center"/>
            </w:pPr>
            <w:r w:rsidRPr="0008554C">
              <w:t>3 498</w:t>
            </w:r>
          </w:p>
        </w:tc>
      </w:tr>
      <w:tr w:rsidR="000C50E5" w:rsidRPr="002A5639" w:rsidTr="007C6999">
        <w:tc>
          <w:tcPr>
            <w:tcW w:w="765" w:type="dxa"/>
            <w:tcBorders>
              <w:left w:val="single" w:sz="4" w:space="0" w:color="000000"/>
              <w:bottom w:val="single" w:sz="4" w:space="0" w:color="000000"/>
            </w:tcBorders>
            <w:shd w:val="clear" w:color="auto" w:fill="auto"/>
            <w:vAlign w:val="center"/>
          </w:tcPr>
          <w:p w:rsidR="000C50E5" w:rsidRDefault="000C50E5" w:rsidP="007C6999">
            <w:pPr>
              <w:suppressLineNumbers/>
              <w:snapToGrid w:val="0"/>
              <w:jc w:val="center"/>
              <w:rPr>
                <w:rFonts w:eastAsia="Times New Roman"/>
              </w:rPr>
            </w:pPr>
            <w:r>
              <w:rPr>
                <w:rFonts w:eastAsia="Times New Roman"/>
              </w:rPr>
              <w:t>10</w:t>
            </w:r>
          </w:p>
        </w:tc>
        <w:tc>
          <w:tcPr>
            <w:tcW w:w="4338" w:type="dxa"/>
            <w:tcBorders>
              <w:left w:val="single" w:sz="4" w:space="0" w:color="000000"/>
              <w:bottom w:val="single" w:sz="4" w:space="0" w:color="000000"/>
              <w:right w:val="single" w:sz="4" w:space="0" w:color="auto"/>
            </w:tcBorders>
            <w:shd w:val="clear" w:color="auto" w:fill="auto"/>
            <w:vAlign w:val="bottom"/>
          </w:tcPr>
          <w:p w:rsidR="000C50E5" w:rsidRPr="0008554C" w:rsidRDefault="000C50E5" w:rsidP="007C6999">
            <w:pPr>
              <w:jc w:val="center"/>
            </w:pPr>
            <w:r w:rsidRPr="0008554C">
              <w:t>2,00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C50E5" w:rsidRPr="0008554C" w:rsidRDefault="000C50E5" w:rsidP="007C6999">
            <w:pPr>
              <w:ind w:left="27"/>
              <w:jc w:val="center"/>
            </w:pPr>
            <w:r w:rsidRPr="0008554C">
              <w:t>22 573</w:t>
            </w:r>
          </w:p>
        </w:tc>
      </w:tr>
      <w:tr w:rsidR="000C50E5" w:rsidRPr="002A5639" w:rsidTr="007C6999">
        <w:trPr>
          <w:trHeight w:val="310"/>
        </w:trPr>
        <w:tc>
          <w:tcPr>
            <w:tcW w:w="5103" w:type="dxa"/>
            <w:gridSpan w:val="2"/>
            <w:tcBorders>
              <w:left w:val="single" w:sz="4" w:space="0" w:color="000000"/>
              <w:bottom w:val="single" w:sz="4" w:space="0" w:color="000000"/>
              <w:right w:val="single" w:sz="4" w:space="0" w:color="auto"/>
            </w:tcBorders>
            <w:shd w:val="clear" w:color="auto" w:fill="auto"/>
            <w:vAlign w:val="center"/>
          </w:tcPr>
          <w:p w:rsidR="000C50E5" w:rsidRPr="002A5639" w:rsidRDefault="000C50E5" w:rsidP="007C6999">
            <w:pPr>
              <w:suppressLineNumbers/>
              <w:snapToGrid w:val="0"/>
              <w:jc w:val="center"/>
              <w:rPr>
                <w:rFonts w:eastAsia="Times New Roman"/>
                <w:b/>
                <w:bCs/>
              </w:rPr>
            </w:pPr>
            <w:r w:rsidRPr="002A5639">
              <w:rPr>
                <w:rFonts w:eastAsia="Times New Roman"/>
                <w:b/>
                <w:bCs/>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C50E5" w:rsidRPr="002A5639" w:rsidRDefault="000C50E5" w:rsidP="007C6999">
            <w:pPr>
              <w:suppressLineNumbers/>
              <w:snapToGrid w:val="0"/>
              <w:jc w:val="center"/>
              <w:rPr>
                <w:rFonts w:eastAsia="Times New Roman"/>
                <w:b/>
                <w:bCs/>
              </w:rPr>
            </w:pPr>
            <w:r w:rsidRPr="0008554C">
              <w:rPr>
                <w:b/>
                <w:bCs/>
              </w:rPr>
              <w:t>74 533</w:t>
            </w:r>
          </w:p>
        </w:tc>
      </w:tr>
    </w:tbl>
    <w:p w:rsidR="000C50E5" w:rsidRPr="0008554C" w:rsidRDefault="000C50E5" w:rsidP="000C50E5">
      <w:pPr>
        <w:jc w:val="both"/>
        <w:rPr>
          <w:b/>
        </w:rPr>
      </w:pPr>
    </w:p>
    <w:p w:rsidR="000C50E5" w:rsidRPr="0008554C" w:rsidRDefault="000C50E5" w:rsidP="000C50E5">
      <w:pPr>
        <w:ind w:left="960"/>
      </w:pPr>
    </w:p>
    <w:p w:rsidR="000C50E5" w:rsidRPr="005F777F" w:rsidRDefault="000C50E5" w:rsidP="000C50E5">
      <w:pPr>
        <w:jc w:val="center"/>
        <w:rPr>
          <w:rFonts w:eastAsia="Times New Roman"/>
          <w:b/>
          <w:bCs/>
          <w:lang/>
        </w:rPr>
      </w:pPr>
      <w:r w:rsidRPr="006525F4">
        <w:rPr>
          <w:rFonts w:eastAsia="Times New Roman"/>
          <w:b/>
          <w:bCs/>
          <w:lang/>
        </w:rPr>
        <w:t>Требования к качеству, к безопасности, требования к функциональным характеристикам (потребительским свойствам) товара и иные показатели</w:t>
      </w:r>
    </w:p>
    <w:p w:rsidR="000C50E5" w:rsidRPr="0008554C" w:rsidRDefault="000C50E5" w:rsidP="000C50E5"/>
    <w:p w:rsidR="000C50E5" w:rsidRPr="0008554C" w:rsidRDefault="000C50E5" w:rsidP="000C50E5">
      <w:pPr>
        <w:shd w:val="clear" w:color="auto" w:fill="FFFFFF"/>
        <w:ind w:firstLine="708"/>
        <w:jc w:val="both"/>
      </w:pPr>
      <w:r w:rsidRPr="0008554C">
        <w:t xml:space="preserve">В силу ст. 2 Федерального закона от 17.07.1999 г. № 176-ФЗ "О почтовой связи" (далее – Федеральный закон), государственными знаками почтовой оплаты признаются почтовые марки и иные знаки, наносимые на почтовые отправления и подтверждающие оплату услуг почтовой связи. </w:t>
      </w:r>
    </w:p>
    <w:p w:rsidR="000C50E5" w:rsidRPr="0008554C" w:rsidRDefault="000C50E5" w:rsidP="000C50E5">
      <w:pPr>
        <w:shd w:val="clear" w:color="auto" w:fill="FFFFFF"/>
        <w:ind w:firstLine="708"/>
        <w:jc w:val="both"/>
      </w:pPr>
      <w:r w:rsidRPr="0008554C">
        <w:t xml:space="preserve">Номиналы знаков почтовой оплаты соответствуют тарифам на услуги почтовой связи, действующим на территории Российской Федерации - п. 3.2. раздела </w:t>
      </w:r>
      <w:r w:rsidRPr="0008554C">
        <w:rPr>
          <w:lang w:val="en-US"/>
        </w:rPr>
        <w:t>I</w:t>
      </w:r>
      <w:r w:rsidRPr="0008554C">
        <w:t xml:space="preserve"> «Положения о знаках почтовой оплаты и специальных почтовых штемпелях Российской Федерации» (утверждено </w:t>
      </w:r>
      <w:r w:rsidRPr="0008554C">
        <w:lastRenderedPageBreak/>
        <w:t xml:space="preserve">приказом Минсвязи РФ от 26.05.1994 № 115, далее - Положение). В силу п. 5.3. раздела </w:t>
      </w:r>
      <w:r w:rsidRPr="0008554C">
        <w:rPr>
          <w:lang w:val="en-US"/>
        </w:rPr>
        <w:t>I</w:t>
      </w:r>
      <w:r w:rsidRPr="0008554C">
        <w:t xml:space="preserve"> Положения, продажа знаков почтовой оплаты Российской Федерации производится учреждениями Федеральной почтовой связи строго по номинальной стоимости. Из этого следует, что на рынке услуг почтовой связи присутствует не менее одного поставщика, способного поставлять почтовые марки по цене, не превышающей их номинальную стоимость. </w:t>
      </w:r>
    </w:p>
    <w:p w:rsidR="000C50E5" w:rsidRPr="0008554C" w:rsidRDefault="000C50E5" w:rsidP="000C50E5">
      <w:pPr>
        <w:ind w:firstLine="709"/>
        <w:jc w:val="both"/>
      </w:pPr>
      <w:proofErr w:type="gramStart"/>
      <w:r w:rsidRPr="0008554C">
        <w:t>В соответствии с требованиями п. 26 Правил оказания услуг почтовой связи, утвержденных приказом</w:t>
      </w:r>
      <w:r>
        <w:t xml:space="preserve"> </w:t>
      </w:r>
      <w:proofErr w:type="spellStart"/>
      <w:r w:rsidRPr="0008554C">
        <w:t>Минкомсвязи</w:t>
      </w:r>
      <w:proofErr w:type="spellEnd"/>
      <w:r w:rsidRPr="0008554C">
        <w:t xml:space="preserve"> России от 31июля 2014 г. № 234</w:t>
      </w:r>
      <w:r>
        <w:t xml:space="preserve">, почтовые марки, новые, не использованные, не изъятые </w:t>
      </w:r>
      <w:r w:rsidRPr="0008554C">
        <w:t>из почт</w:t>
      </w:r>
      <w:r>
        <w:t>ового обращения, не испорченные (не загрязненные, не поврежденные, не погашенные</w:t>
      </w:r>
      <w:r w:rsidRPr="0008554C">
        <w:t xml:space="preserve"> к</w:t>
      </w:r>
      <w:r>
        <w:t>аким-либо способом), не являются</w:t>
      </w:r>
      <w:r w:rsidRPr="0008554C">
        <w:t xml:space="preserve"> иностр</w:t>
      </w:r>
      <w:r>
        <w:t>анными почтовыми марками, имеют самоклеющуюся основу, готовые</w:t>
      </w:r>
      <w:r w:rsidRPr="0008554C">
        <w:t xml:space="preserve"> к эксплуатации.</w:t>
      </w:r>
      <w:proofErr w:type="gramEnd"/>
    </w:p>
    <w:p w:rsidR="000C50E5" w:rsidRPr="0008554C" w:rsidRDefault="000C50E5" w:rsidP="000C50E5">
      <w:pPr>
        <w:pStyle w:val="2"/>
        <w:keepNext w:val="0"/>
        <w:keepLines w:val="0"/>
        <w:suppressLineNumbers w:val="0"/>
        <w:tabs>
          <w:tab w:val="clear" w:pos="11016"/>
          <w:tab w:val="left" w:pos="1260"/>
          <w:tab w:val="left" w:pos="1836"/>
        </w:tabs>
        <w:suppressAutoHyphens w:val="0"/>
        <w:spacing w:after="0"/>
        <w:ind w:left="0" w:firstLine="690"/>
        <w:rPr>
          <w:rFonts w:cs="Times New Roman"/>
        </w:rPr>
      </w:pPr>
      <w:r w:rsidRPr="0008554C">
        <w:rPr>
          <w:rFonts w:cs="Times New Roman"/>
          <w:b w:val="0"/>
        </w:rPr>
        <w:t>Государственные знаки поч</w:t>
      </w:r>
      <w:r>
        <w:rPr>
          <w:rFonts w:cs="Times New Roman"/>
          <w:b w:val="0"/>
        </w:rPr>
        <w:t xml:space="preserve">товой оплаты (ГЗПО) неподдельные, соответствуют </w:t>
      </w:r>
      <w:r w:rsidRPr="0008554C">
        <w:rPr>
          <w:rFonts w:cs="Times New Roman"/>
          <w:b w:val="0"/>
        </w:rPr>
        <w:t>требованиям действующего законодательства, предъявляемого к данному виду продук</w:t>
      </w:r>
      <w:r>
        <w:rPr>
          <w:rFonts w:cs="Times New Roman"/>
          <w:b w:val="0"/>
        </w:rPr>
        <w:t>ции, отвечают</w:t>
      </w:r>
      <w:r w:rsidRPr="0008554C">
        <w:rPr>
          <w:rFonts w:cs="Times New Roman"/>
          <w:b w:val="0"/>
        </w:rPr>
        <w:t xml:space="preserve"> требованиям качества безопасности жизни и здоровья, санитарным нормам и правилам. </w:t>
      </w:r>
    </w:p>
    <w:p w:rsidR="000C50E5" w:rsidRDefault="000C50E5" w:rsidP="000C50E5">
      <w:pPr>
        <w:jc w:val="center"/>
        <w:rPr>
          <w:rFonts w:eastAsia="SimSun"/>
          <w:b/>
          <w:bCs/>
          <w:szCs w:val="20"/>
          <w:lang w:eastAsia="hi-IN" w:bidi="hi-IN"/>
        </w:rPr>
      </w:pPr>
    </w:p>
    <w:p w:rsidR="000C50E5" w:rsidRPr="002A5639" w:rsidRDefault="000C50E5" w:rsidP="000C50E5">
      <w:pPr>
        <w:jc w:val="center"/>
        <w:rPr>
          <w:rFonts w:eastAsia="SimSun"/>
          <w:szCs w:val="20"/>
          <w:lang w:eastAsia="hi-IN" w:bidi="hi-IN"/>
        </w:rPr>
      </w:pPr>
      <w:r w:rsidRPr="002A5639">
        <w:rPr>
          <w:rFonts w:eastAsia="SimSun"/>
          <w:b/>
          <w:bCs/>
          <w:szCs w:val="20"/>
          <w:lang w:eastAsia="hi-IN" w:bidi="hi-IN"/>
        </w:rPr>
        <w:t>Требования к упаковке</w:t>
      </w:r>
    </w:p>
    <w:p w:rsidR="000C50E5" w:rsidRPr="0008554C" w:rsidRDefault="000C50E5" w:rsidP="000C50E5">
      <w:pPr>
        <w:jc w:val="both"/>
      </w:pPr>
    </w:p>
    <w:p w:rsidR="000C50E5" w:rsidRPr="0008554C" w:rsidRDefault="000C50E5" w:rsidP="000C50E5">
      <w:pPr>
        <w:ind w:firstLine="708"/>
        <w:jc w:val="both"/>
        <w:rPr>
          <w:color w:val="1A171B"/>
        </w:rPr>
      </w:pPr>
      <w:r>
        <w:t>Упаковка исключает</w:t>
      </w:r>
      <w:r w:rsidRPr="0008554C">
        <w:t xml:space="preserve"> механические повреждения, загрязнения, п</w:t>
      </w:r>
      <w:r>
        <w:t>роникновение влаги, обеспечивает</w:t>
      </w:r>
      <w:r w:rsidRPr="0008554C">
        <w:t xml:space="preserve"> сохранение качества, потребительских свойств и безопасности на всех этапах обращения знаков почтовой оплаты Российской Федерации (почтовых марок). </w:t>
      </w:r>
      <w:r w:rsidRPr="0008554C">
        <w:rPr>
          <w:color w:val="1A171B"/>
        </w:rPr>
        <w:t>Поставка товара в упаковке, обеспечивающей ее сохранность при транспортировке и хранении, с наличием соответствующих законодательству маркировок и аннотаций на русском языке.</w:t>
      </w:r>
    </w:p>
    <w:p w:rsidR="000C50E5" w:rsidRPr="0008554C" w:rsidRDefault="000C50E5" w:rsidP="000C50E5"/>
    <w:p w:rsidR="000C50E5" w:rsidRPr="0008554C" w:rsidRDefault="000C50E5" w:rsidP="000C50E5">
      <w:pPr>
        <w:jc w:val="both"/>
        <w:rPr>
          <w:rFonts w:eastAsia="Arial Unicode MS"/>
          <w:b/>
        </w:rPr>
      </w:pPr>
      <w:r w:rsidRPr="0008554C">
        <w:rPr>
          <w:rFonts w:eastAsia="Arial Unicode MS"/>
        </w:rPr>
        <w:t>Марка почтовая стандартная – знаки почтовой оплаты Российской Федерации:</w:t>
      </w:r>
    </w:p>
    <w:p w:rsidR="000C50E5" w:rsidRDefault="000C50E5" w:rsidP="000C50E5">
      <w:pPr>
        <w:jc w:val="both"/>
        <w:rPr>
          <w:rFonts w:eastAsia="Arial Unicode MS"/>
          <w:b/>
        </w:rPr>
      </w:pPr>
      <w:r w:rsidRPr="0008554C">
        <w:rPr>
          <w:rFonts w:eastAsia="Arial Unicode MS"/>
          <w:b/>
        </w:rPr>
        <w:t xml:space="preserve">Общее количество: </w:t>
      </w:r>
      <w:r w:rsidRPr="0008554C">
        <w:rPr>
          <w:rFonts w:eastAsia="Times New Roman"/>
          <w:b/>
          <w:bCs/>
        </w:rPr>
        <w:t>74 533</w:t>
      </w:r>
      <w:r w:rsidRPr="0008554C">
        <w:rPr>
          <w:rFonts w:eastAsia="Arial Unicode MS"/>
          <w:b/>
        </w:rPr>
        <w:t xml:space="preserve"> шт.</w:t>
      </w:r>
    </w:p>
    <w:p w:rsidR="000C50E5" w:rsidRDefault="000C50E5" w:rsidP="000C50E5">
      <w:pPr>
        <w:jc w:val="both"/>
        <w:rPr>
          <w:rFonts w:eastAsia="Arial Unicode MS"/>
          <w:b/>
        </w:rPr>
      </w:pPr>
    </w:p>
    <w:p w:rsidR="000C50E5" w:rsidRDefault="000C50E5" w:rsidP="000C50E5">
      <w:pPr>
        <w:jc w:val="both"/>
        <w:rPr>
          <w:rFonts w:eastAsia="Arial Unicode MS"/>
          <w:b/>
        </w:rPr>
      </w:pPr>
    </w:p>
    <w:p w:rsidR="000C50E5" w:rsidRDefault="000C50E5" w:rsidP="000C50E5">
      <w:pPr>
        <w:jc w:val="both"/>
        <w:rPr>
          <w:rFonts w:eastAsia="Arial Unicode MS"/>
          <w:b/>
        </w:rPr>
      </w:pPr>
    </w:p>
    <w:p w:rsidR="000C50E5" w:rsidRDefault="000C50E5" w:rsidP="000C50E5">
      <w:pPr>
        <w:jc w:val="both"/>
        <w:rPr>
          <w:rFonts w:eastAsia="Arial Unicode MS"/>
          <w:b/>
        </w:rPr>
      </w:pPr>
    </w:p>
    <w:p w:rsidR="000C50E5" w:rsidRDefault="000C50E5" w:rsidP="000C50E5">
      <w:pPr>
        <w:jc w:val="both"/>
        <w:rPr>
          <w:rFonts w:eastAsia="Arial Unicode MS"/>
          <w:b/>
        </w:rPr>
      </w:pPr>
    </w:p>
    <w:p w:rsidR="000C50E5" w:rsidRDefault="000C50E5" w:rsidP="000C50E5">
      <w:pPr>
        <w:jc w:val="both"/>
        <w:rPr>
          <w:rFonts w:eastAsia="Arial Unicode MS"/>
          <w:b/>
        </w:rPr>
      </w:pPr>
    </w:p>
    <w:p w:rsidR="000C50E5" w:rsidRDefault="000C50E5" w:rsidP="000C50E5">
      <w:pPr>
        <w:jc w:val="both"/>
        <w:rPr>
          <w:rFonts w:eastAsia="Arial Unicode MS"/>
          <w:b/>
        </w:rPr>
      </w:pPr>
    </w:p>
    <w:p w:rsidR="000C50E5" w:rsidRDefault="000C50E5" w:rsidP="000C50E5">
      <w:pPr>
        <w:jc w:val="both"/>
        <w:rPr>
          <w:rFonts w:eastAsia="Arial Unicode MS"/>
          <w:b/>
        </w:rPr>
      </w:pPr>
    </w:p>
    <w:p w:rsidR="000C50E5" w:rsidRDefault="000C50E5" w:rsidP="000C50E5">
      <w:pPr>
        <w:jc w:val="both"/>
        <w:rPr>
          <w:rFonts w:eastAsia="Arial Unicode MS"/>
          <w:b/>
        </w:rPr>
      </w:pPr>
    </w:p>
    <w:p w:rsidR="000C50E5" w:rsidRDefault="000C50E5" w:rsidP="000C50E5">
      <w:pPr>
        <w:jc w:val="both"/>
        <w:rPr>
          <w:rFonts w:eastAsia="Arial Unicode MS"/>
          <w:b/>
        </w:rPr>
      </w:pPr>
    </w:p>
    <w:p w:rsidR="000C50E5" w:rsidRDefault="000C50E5" w:rsidP="000C50E5">
      <w:pPr>
        <w:jc w:val="both"/>
        <w:rPr>
          <w:rFonts w:eastAsia="Arial Unicode MS"/>
          <w:b/>
        </w:rPr>
      </w:pPr>
    </w:p>
    <w:p w:rsidR="000C50E5" w:rsidRDefault="000C50E5" w:rsidP="000C50E5">
      <w:pPr>
        <w:jc w:val="both"/>
        <w:rPr>
          <w:rFonts w:eastAsia="Arial Unicode MS"/>
          <w:b/>
        </w:rPr>
      </w:pPr>
    </w:p>
    <w:p w:rsidR="000C50E5" w:rsidRDefault="000C50E5" w:rsidP="000C50E5">
      <w:pPr>
        <w:jc w:val="both"/>
        <w:rPr>
          <w:rFonts w:eastAsia="Arial Unicode MS"/>
          <w:b/>
        </w:rPr>
      </w:pPr>
    </w:p>
    <w:p w:rsidR="000C50E5" w:rsidRDefault="000C50E5" w:rsidP="000C50E5">
      <w:pPr>
        <w:jc w:val="both"/>
        <w:rPr>
          <w:rFonts w:eastAsia="Arial Unicode MS"/>
          <w:b/>
        </w:rPr>
      </w:pPr>
    </w:p>
    <w:p w:rsidR="00CC647F" w:rsidRDefault="00CC647F"/>
    <w:sectPr w:rsidR="00CC6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50E5"/>
    <w:rsid w:val="000C50E5"/>
    <w:rsid w:val="00CC6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50E5"/>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2">
    <w:name w:val="Стиль2"/>
    <w:basedOn w:val="a"/>
    <w:rsid w:val="000C50E5"/>
    <w:pPr>
      <w:keepNext/>
      <w:keepLines/>
      <w:widowControl w:val="0"/>
      <w:suppressLineNumbers/>
      <w:tabs>
        <w:tab w:val="left" w:pos="11016"/>
      </w:tabs>
      <w:suppressAutoHyphens/>
      <w:spacing w:after="60" w:line="240" w:lineRule="auto"/>
      <w:ind w:left="1836" w:hanging="576"/>
      <w:jc w:val="both"/>
    </w:pPr>
    <w:rPr>
      <w:rFonts w:ascii="Times New Roman" w:eastAsia="SimSun" w:hAnsi="Times New Roman" w:cs="Mangal"/>
      <w:b/>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2</cp:revision>
  <dcterms:created xsi:type="dcterms:W3CDTF">2020-05-25T14:05:00Z</dcterms:created>
  <dcterms:modified xsi:type="dcterms:W3CDTF">2020-05-25T14:05:00Z</dcterms:modified>
</cp:coreProperties>
</file>