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AE1" w:rsidRPr="00FC6219" w:rsidRDefault="00523AE2" w:rsidP="00146F68">
      <w:pPr>
        <w:keepLines/>
        <w:widowControl w:val="0"/>
        <w:spacing w:after="0"/>
        <w:jc w:val="center"/>
        <w:rPr>
          <w:b/>
          <w:lang w:eastAsia="ar-SA"/>
        </w:rPr>
      </w:pPr>
      <w:r>
        <w:rPr>
          <w:b/>
          <w:lang w:eastAsia="ar-SA"/>
        </w:rPr>
        <w:t>ОПИСАНИЕ ОБЪЕКТА ЗАКУПКИ</w:t>
      </w:r>
      <w:bookmarkStart w:id="0" w:name="_GoBack"/>
      <w:bookmarkEnd w:id="0"/>
    </w:p>
    <w:p w:rsidR="00146F68" w:rsidRDefault="001907B8" w:rsidP="00146F68">
      <w:pPr>
        <w:keepLines/>
        <w:widowControl w:val="0"/>
        <w:spacing w:after="0"/>
        <w:jc w:val="center"/>
        <w:rPr>
          <w:lang w:eastAsia="ar-SA"/>
        </w:rPr>
      </w:pPr>
      <w:r w:rsidRPr="001907B8">
        <w:rPr>
          <w:lang w:eastAsia="ar-SA"/>
        </w:rPr>
        <w:t xml:space="preserve">Выполнение работ по обеспечению протезом после вычленения плеча с электромеханическим приводом и контактной системой управления, протезом после вычленения плеча функционально-косметическим инвалида </w:t>
      </w:r>
      <w:r w:rsidR="001D393E">
        <w:rPr>
          <w:lang w:eastAsia="ar-SA"/>
        </w:rPr>
        <w:t>Краснодарского края в 2020 году</w:t>
      </w:r>
    </w:p>
    <w:p w:rsidR="001907B8" w:rsidRDefault="001907B8" w:rsidP="00146F68">
      <w:pPr>
        <w:keepLines/>
        <w:widowControl w:val="0"/>
        <w:spacing w:after="0"/>
        <w:jc w:val="center"/>
        <w:rPr>
          <w:lang w:eastAsia="ar-SA"/>
        </w:rPr>
      </w:pPr>
    </w:p>
    <w:tbl>
      <w:tblPr>
        <w:tblStyle w:val="a3"/>
        <w:tblW w:w="5000" w:type="pct"/>
        <w:tblLayout w:type="fixed"/>
        <w:tblLook w:val="04A0" w:firstRow="1" w:lastRow="0" w:firstColumn="1" w:lastColumn="0" w:noHBand="0" w:noVBand="1"/>
      </w:tblPr>
      <w:tblGrid>
        <w:gridCol w:w="504"/>
        <w:gridCol w:w="3375"/>
        <w:gridCol w:w="6182"/>
        <w:gridCol w:w="891"/>
        <w:gridCol w:w="661"/>
        <w:gridCol w:w="1424"/>
        <w:gridCol w:w="1523"/>
      </w:tblGrid>
      <w:tr w:rsidR="00675AE1" w:rsidRPr="001907B8" w:rsidTr="001D393E">
        <w:tc>
          <w:tcPr>
            <w:tcW w:w="173" w:type="pct"/>
          </w:tcPr>
          <w:p w:rsidR="00675AE1" w:rsidRPr="001907B8" w:rsidRDefault="00675AE1" w:rsidP="001907B8">
            <w:pPr>
              <w:keepLines/>
              <w:widowControl w:val="0"/>
              <w:spacing w:after="0"/>
              <w:jc w:val="center"/>
              <w:rPr>
                <w:sz w:val="22"/>
                <w:szCs w:val="22"/>
                <w:lang w:eastAsia="ar-SA"/>
              </w:rPr>
            </w:pPr>
            <w:r w:rsidRPr="001907B8">
              <w:rPr>
                <w:sz w:val="22"/>
                <w:szCs w:val="22"/>
                <w:lang w:eastAsia="ar-SA"/>
              </w:rPr>
              <w:t>№ п/п</w:t>
            </w:r>
          </w:p>
        </w:tc>
        <w:tc>
          <w:tcPr>
            <w:tcW w:w="1159" w:type="pct"/>
          </w:tcPr>
          <w:p w:rsidR="00675AE1" w:rsidRPr="001907B8" w:rsidRDefault="00675AE1" w:rsidP="001907B8">
            <w:pPr>
              <w:keepLines/>
              <w:widowControl w:val="0"/>
              <w:spacing w:after="0"/>
              <w:jc w:val="center"/>
              <w:rPr>
                <w:sz w:val="22"/>
                <w:szCs w:val="22"/>
                <w:lang w:eastAsia="ar-SA"/>
              </w:rPr>
            </w:pPr>
            <w:r w:rsidRPr="001907B8">
              <w:rPr>
                <w:sz w:val="22"/>
                <w:szCs w:val="22"/>
                <w:lang w:eastAsia="ar-SA"/>
              </w:rPr>
              <w:t>Наименование товара, работ, услуг</w:t>
            </w:r>
          </w:p>
        </w:tc>
        <w:tc>
          <w:tcPr>
            <w:tcW w:w="2123" w:type="pct"/>
          </w:tcPr>
          <w:p w:rsidR="00675AE1" w:rsidRPr="001907B8" w:rsidRDefault="00675AE1" w:rsidP="001907B8">
            <w:pPr>
              <w:keepLines/>
              <w:widowControl w:val="0"/>
              <w:spacing w:after="0"/>
              <w:jc w:val="center"/>
              <w:rPr>
                <w:sz w:val="22"/>
                <w:szCs w:val="22"/>
                <w:lang w:eastAsia="ar-SA"/>
              </w:rPr>
            </w:pPr>
            <w:r w:rsidRPr="001907B8">
              <w:rPr>
                <w:sz w:val="22"/>
                <w:szCs w:val="22"/>
                <w:lang w:eastAsia="ar-SA"/>
              </w:rPr>
              <w:t>Описание объекта закупки</w:t>
            </w:r>
          </w:p>
        </w:tc>
        <w:tc>
          <w:tcPr>
            <w:tcW w:w="306" w:type="pct"/>
          </w:tcPr>
          <w:p w:rsidR="00675AE1" w:rsidRPr="001907B8" w:rsidRDefault="00675AE1" w:rsidP="001907B8">
            <w:pPr>
              <w:keepLines/>
              <w:widowControl w:val="0"/>
              <w:spacing w:after="0"/>
              <w:jc w:val="center"/>
              <w:rPr>
                <w:sz w:val="22"/>
                <w:szCs w:val="22"/>
                <w:lang w:eastAsia="ar-SA"/>
              </w:rPr>
            </w:pPr>
            <w:r w:rsidRPr="001907B8">
              <w:rPr>
                <w:sz w:val="22"/>
                <w:szCs w:val="22"/>
                <w:lang w:eastAsia="ar-SA"/>
              </w:rPr>
              <w:t>Единица измерения</w:t>
            </w:r>
          </w:p>
        </w:tc>
        <w:tc>
          <w:tcPr>
            <w:tcW w:w="227" w:type="pct"/>
          </w:tcPr>
          <w:p w:rsidR="00675AE1" w:rsidRPr="001907B8" w:rsidRDefault="00675AE1" w:rsidP="001907B8">
            <w:pPr>
              <w:keepLines/>
              <w:widowControl w:val="0"/>
              <w:spacing w:after="0"/>
              <w:jc w:val="center"/>
              <w:rPr>
                <w:sz w:val="22"/>
                <w:szCs w:val="22"/>
                <w:lang w:eastAsia="ar-SA"/>
              </w:rPr>
            </w:pPr>
            <w:r w:rsidRPr="001907B8">
              <w:rPr>
                <w:sz w:val="22"/>
                <w:szCs w:val="22"/>
                <w:lang w:eastAsia="ar-SA"/>
              </w:rPr>
              <w:t>Количество</w:t>
            </w:r>
          </w:p>
        </w:tc>
        <w:tc>
          <w:tcPr>
            <w:tcW w:w="489" w:type="pct"/>
          </w:tcPr>
          <w:p w:rsidR="00675AE1" w:rsidRPr="001907B8" w:rsidRDefault="00675AE1" w:rsidP="001907B8">
            <w:pPr>
              <w:keepLines/>
              <w:widowControl w:val="0"/>
              <w:spacing w:after="0"/>
              <w:jc w:val="center"/>
              <w:rPr>
                <w:sz w:val="22"/>
                <w:szCs w:val="22"/>
                <w:lang w:eastAsia="ar-SA"/>
              </w:rPr>
            </w:pPr>
            <w:r w:rsidRPr="001907B8">
              <w:rPr>
                <w:sz w:val="22"/>
                <w:szCs w:val="22"/>
                <w:lang w:eastAsia="ar-SA"/>
              </w:rPr>
              <w:t>Цена за единицу измерения, руб.</w:t>
            </w:r>
          </w:p>
        </w:tc>
        <w:tc>
          <w:tcPr>
            <w:tcW w:w="523" w:type="pct"/>
          </w:tcPr>
          <w:p w:rsidR="00675AE1" w:rsidRPr="001907B8" w:rsidRDefault="00675AE1" w:rsidP="001907B8">
            <w:pPr>
              <w:keepLines/>
              <w:widowControl w:val="0"/>
              <w:spacing w:after="0"/>
              <w:jc w:val="center"/>
              <w:rPr>
                <w:sz w:val="22"/>
                <w:szCs w:val="22"/>
                <w:lang w:eastAsia="ar-SA"/>
              </w:rPr>
            </w:pPr>
            <w:r w:rsidRPr="001907B8">
              <w:rPr>
                <w:sz w:val="22"/>
                <w:szCs w:val="22"/>
                <w:lang w:eastAsia="ar-SA"/>
              </w:rPr>
              <w:t>Стоимость позиции, руб.</w:t>
            </w:r>
          </w:p>
        </w:tc>
      </w:tr>
      <w:tr w:rsidR="00675AE1" w:rsidRPr="001907B8" w:rsidTr="001D393E">
        <w:tc>
          <w:tcPr>
            <w:tcW w:w="173" w:type="pct"/>
          </w:tcPr>
          <w:p w:rsidR="00675AE1" w:rsidRPr="001907B8" w:rsidRDefault="00675AE1" w:rsidP="001907B8">
            <w:pPr>
              <w:keepLines/>
              <w:widowControl w:val="0"/>
              <w:spacing w:after="0"/>
              <w:jc w:val="left"/>
              <w:rPr>
                <w:sz w:val="22"/>
                <w:szCs w:val="22"/>
                <w:lang w:eastAsia="ar-SA"/>
              </w:rPr>
            </w:pPr>
            <w:r w:rsidRPr="001907B8">
              <w:rPr>
                <w:sz w:val="22"/>
                <w:szCs w:val="22"/>
                <w:lang w:eastAsia="ar-SA"/>
              </w:rPr>
              <w:t>1</w:t>
            </w:r>
          </w:p>
        </w:tc>
        <w:tc>
          <w:tcPr>
            <w:tcW w:w="1159" w:type="pct"/>
          </w:tcPr>
          <w:p w:rsidR="00675AE1" w:rsidRPr="001907B8" w:rsidRDefault="00675AE1" w:rsidP="001D393E">
            <w:pPr>
              <w:spacing w:after="0"/>
              <w:jc w:val="center"/>
              <w:rPr>
                <w:sz w:val="22"/>
                <w:szCs w:val="22"/>
                <w:lang w:eastAsia="ar-SA"/>
              </w:rPr>
            </w:pPr>
            <w:r w:rsidRPr="001907B8">
              <w:rPr>
                <w:sz w:val="22"/>
                <w:szCs w:val="22"/>
                <w:lang w:eastAsia="ar-SA"/>
              </w:rPr>
              <w:t xml:space="preserve">Протез после вычленения плеча с электромеханическим приводом и контактной </w:t>
            </w:r>
            <w:r w:rsidR="001D393E">
              <w:rPr>
                <w:sz w:val="22"/>
                <w:szCs w:val="22"/>
                <w:lang w:eastAsia="ar-SA"/>
              </w:rPr>
              <w:t>системой управления</w:t>
            </w:r>
          </w:p>
        </w:tc>
        <w:tc>
          <w:tcPr>
            <w:tcW w:w="2123" w:type="pct"/>
          </w:tcPr>
          <w:p w:rsidR="00523AE2" w:rsidRDefault="00675AE1" w:rsidP="001907B8">
            <w:pPr>
              <w:spacing w:after="0"/>
              <w:rPr>
                <w:iCs/>
                <w:color w:val="000000"/>
                <w:sz w:val="22"/>
                <w:szCs w:val="22"/>
                <w:lang w:eastAsia="ar-SA"/>
              </w:rPr>
            </w:pPr>
            <w:r w:rsidRPr="001907B8">
              <w:rPr>
                <w:iCs/>
                <w:color w:val="000000"/>
                <w:sz w:val="22"/>
                <w:szCs w:val="22"/>
                <w:lang w:eastAsia="ar-SA"/>
              </w:rPr>
              <w:t xml:space="preserve">Протез после вычленения плеча с электромеханическим приводом и контактной системой управления должен быть с приемной гильзой по слепку. </w:t>
            </w:r>
          </w:p>
          <w:p w:rsidR="00675AE1" w:rsidRPr="001907B8" w:rsidRDefault="00675AE1" w:rsidP="001907B8">
            <w:pPr>
              <w:spacing w:after="0"/>
              <w:rPr>
                <w:iCs/>
                <w:color w:val="000000"/>
                <w:sz w:val="22"/>
                <w:szCs w:val="22"/>
                <w:lang w:eastAsia="ar-SA"/>
              </w:rPr>
            </w:pPr>
            <w:r w:rsidRPr="001907B8">
              <w:rPr>
                <w:iCs/>
                <w:color w:val="000000"/>
                <w:sz w:val="22"/>
                <w:szCs w:val="22"/>
                <w:lang w:eastAsia="ar-SA"/>
              </w:rPr>
              <w:t>Должен предназначаться для обеспечения действия инвалида по самообслуживанию.</w:t>
            </w:r>
          </w:p>
          <w:p w:rsidR="00675AE1" w:rsidRPr="001907B8" w:rsidRDefault="00675AE1" w:rsidP="001907B8">
            <w:pPr>
              <w:spacing w:after="0"/>
              <w:rPr>
                <w:iCs/>
                <w:color w:val="000000"/>
                <w:sz w:val="22"/>
                <w:szCs w:val="22"/>
                <w:lang w:eastAsia="ar-SA"/>
              </w:rPr>
            </w:pPr>
            <w:r w:rsidRPr="001907B8">
              <w:rPr>
                <w:iCs/>
                <w:color w:val="000000"/>
                <w:sz w:val="22"/>
                <w:szCs w:val="22"/>
                <w:lang w:eastAsia="ar-SA"/>
              </w:rPr>
              <w:t xml:space="preserve">Протез должен изготавливаться по индивидуальному техпроцессу для сложного протезирования. Примерочный наплечник должен быть из термопласта, постоянным – из слоистого пластика на основе акриловых смол и высокотемпературного силикона. </w:t>
            </w:r>
          </w:p>
          <w:p w:rsidR="00675AE1" w:rsidRPr="001907B8" w:rsidRDefault="00675AE1" w:rsidP="001907B8">
            <w:pPr>
              <w:spacing w:after="0"/>
              <w:rPr>
                <w:iCs/>
                <w:color w:val="000000"/>
                <w:sz w:val="22"/>
                <w:szCs w:val="22"/>
                <w:lang w:eastAsia="ar-SA"/>
              </w:rPr>
            </w:pPr>
            <w:r w:rsidRPr="001907B8">
              <w:rPr>
                <w:iCs/>
                <w:color w:val="000000"/>
                <w:sz w:val="22"/>
                <w:szCs w:val="22"/>
                <w:lang w:eastAsia="ar-SA"/>
              </w:rPr>
              <w:t xml:space="preserve">Протез после вычленения плеча с электромеханическим приводом и контактной системой управления должен состоять из наплечника по слепку, комплекта узлов для протеза после вычленения плеча, несущей гильзы из композитных материалов на основе акриловых смол, индивидуального крепления, плечевого модуля, локтевого модуля, </w:t>
            </w:r>
            <w:proofErr w:type="spellStart"/>
            <w:r w:rsidRPr="001907B8">
              <w:rPr>
                <w:iCs/>
                <w:color w:val="000000"/>
                <w:sz w:val="22"/>
                <w:szCs w:val="22"/>
                <w:lang w:eastAsia="ar-SA"/>
              </w:rPr>
              <w:t>электрозапястья</w:t>
            </w:r>
            <w:proofErr w:type="spellEnd"/>
            <w:r w:rsidRPr="001907B8">
              <w:rPr>
                <w:iCs/>
                <w:color w:val="000000"/>
                <w:sz w:val="22"/>
                <w:szCs w:val="22"/>
                <w:lang w:eastAsia="ar-SA"/>
              </w:rPr>
              <w:t xml:space="preserve">, системой </w:t>
            </w:r>
            <w:proofErr w:type="spellStart"/>
            <w:r w:rsidRPr="001907B8">
              <w:rPr>
                <w:iCs/>
                <w:color w:val="000000"/>
                <w:sz w:val="22"/>
                <w:szCs w:val="22"/>
                <w:lang w:eastAsia="ar-SA"/>
              </w:rPr>
              <w:t>электрокисти</w:t>
            </w:r>
            <w:proofErr w:type="spellEnd"/>
            <w:r w:rsidRPr="001907B8">
              <w:rPr>
                <w:iCs/>
                <w:color w:val="000000"/>
                <w:sz w:val="22"/>
                <w:szCs w:val="22"/>
                <w:lang w:eastAsia="ar-SA"/>
              </w:rPr>
              <w:t xml:space="preserve">, системы управления и электропитания. </w:t>
            </w:r>
          </w:p>
          <w:p w:rsidR="00675AE1" w:rsidRPr="001907B8" w:rsidRDefault="00675AE1" w:rsidP="001907B8">
            <w:pPr>
              <w:spacing w:after="0"/>
              <w:rPr>
                <w:iCs/>
                <w:color w:val="000000"/>
                <w:sz w:val="22"/>
                <w:szCs w:val="22"/>
                <w:lang w:eastAsia="ar-SA"/>
              </w:rPr>
            </w:pPr>
            <w:r w:rsidRPr="001907B8">
              <w:rPr>
                <w:iCs/>
                <w:color w:val="000000"/>
                <w:sz w:val="22"/>
                <w:szCs w:val="22"/>
                <w:lang w:eastAsia="ar-SA"/>
              </w:rPr>
              <w:t xml:space="preserve">Плечевой шарнир должен быть прикреплен к наплечнику и несущей гильзе плеча. </w:t>
            </w:r>
          </w:p>
          <w:p w:rsidR="00675AE1" w:rsidRPr="001907B8" w:rsidRDefault="00675AE1" w:rsidP="001907B8">
            <w:pPr>
              <w:spacing w:after="0"/>
              <w:rPr>
                <w:iCs/>
                <w:color w:val="000000"/>
                <w:sz w:val="22"/>
                <w:szCs w:val="22"/>
                <w:lang w:eastAsia="ar-SA"/>
              </w:rPr>
            </w:pPr>
            <w:r w:rsidRPr="001907B8">
              <w:rPr>
                <w:iCs/>
                <w:color w:val="000000"/>
                <w:sz w:val="22"/>
                <w:szCs w:val="22"/>
                <w:lang w:eastAsia="ar-SA"/>
              </w:rPr>
              <w:t xml:space="preserve">Локтевой модуль должен присоединяться к несущей гильзе плеча с возможностью ротации. Локтевой модуль должен быть со сквозным </w:t>
            </w:r>
            <w:proofErr w:type="spellStart"/>
            <w:r w:rsidRPr="001907B8">
              <w:rPr>
                <w:iCs/>
                <w:color w:val="000000"/>
                <w:sz w:val="22"/>
                <w:szCs w:val="22"/>
                <w:lang w:eastAsia="ar-SA"/>
              </w:rPr>
              <w:t>электросоединением</w:t>
            </w:r>
            <w:proofErr w:type="spellEnd"/>
            <w:r w:rsidRPr="001907B8">
              <w:rPr>
                <w:iCs/>
                <w:color w:val="000000"/>
                <w:sz w:val="22"/>
                <w:szCs w:val="22"/>
                <w:lang w:eastAsia="ar-SA"/>
              </w:rPr>
              <w:t xml:space="preserve"> </w:t>
            </w:r>
            <w:proofErr w:type="spellStart"/>
            <w:r w:rsidRPr="001907B8">
              <w:rPr>
                <w:iCs/>
                <w:color w:val="000000"/>
                <w:sz w:val="22"/>
                <w:szCs w:val="22"/>
                <w:lang w:val="en-US" w:eastAsia="ar-SA"/>
              </w:rPr>
              <w:t>EasyPlug</w:t>
            </w:r>
            <w:proofErr w:type="spellEnd"/>
            <w:r w:rsidRPr="001907B8">
              <w:rPr>
                <w:iCs/>
                <w:color w:val="000000"/>
                <w:sz w:val="22"/>
                <w:szCs w:val="22"/>
                <w:lang w:eastAsia="ar-SA"/>
              </w:rPr>
              <w:t xml:space="preserve"> и усилителем сгибания (</w:t>
            </w:r>
            <w:r w:rsidRPr="001907B8">
              <w:rPr>
                <w:iCs/>
                <w:color w:val="000000"/>
                <w:sz w:val="22"/>
                <w:szCs w:val="22"/>
                <w:lang w:val="en-US" w:eastAsia="ar-SA"/>
              </w:rPr>
              <w:t>AFB</w:t>
            </w:r>
            <w:r w:rsidRPr="001907B8">
              <w:rPr>
                <w:iCs/>
                <w:color w:val="000000"/>
                <w:sz w:val="22"/>
                <w:szCs w:val="22"/>
                <w:lang w:eastAsia="ar-SA"/>
              </w:rPr>
              <w:t>) для биоэлектрических гибридных протезов, с внутренним фиксатором в исполнении без храповика, усилителем сгибания (</w:t>
            </w:r>
            <w:r w:rsidRPr="001907B8">
              <w:rPr>
                <w:iCs/>
                <w:color w:val="000000"/>
                <w:sz w:val="22"/>
                <w:szCs w:val="22"/>
                <w:lang w:val="en-US" w:eastAsia="ar-SA"/>
              </w:rPr>
              <w:t>AFB</w:t>
            </w:r>
            <w:r w:rsidRPr="001907B8">
              <w:rPr>
                <w:iCs/>
                <w:color w:val="000000"/>
                <w:sz w:val="22"/>
                <w:szCs w:val="22"/>
                <w:lang w:eastAsia="ar-SA"/>
              </w:rPr>
              <w:t xml:space="preserve">) и шарнирным соединением с плечом (серповидный шарнир), с регулируемой силой трения. </w:t>
            </w:r>
          </w:p>
          <w:p w:rsidR="00675AE1" w:rsidRPr="001907B8" w:rsidRDefault="00675AE1" w:rsidP="001907B8">
            <w:pPr>
              <w:spacing w:after="0"/>
              <w:rPr>
                <w:iCs/>
                <w:color w:val="000000"/>
                <w:sz w:val="22"/>
                <w:szCs w:val="22"/>
                <w:lang w:eastAsia="ar-SA"/>
              </w:rPr>
            </w:pPr>
            <w:r w:rsidRPr="001907B8">
              <w:rPr>
                <w:iCs/>
                <w:color w:val="000000"/>
                <w:sz w:val="22"/>
                <w:szCs w:val="22"/>
                <w:lang w:eastAsia="ar-SA"/>
              </w:rPr>
              <w:t xml:space="preserve">Максимально допустимая нагрузка для фиксатора должна быть 230 Н при длине предплечья 305 мм. </w:t>
            </w:r>
          </w:p>
          <w:p w:rsidR="00675AE1" w:rsidRPr="001907B8" w:rsidRDefault="00675AE1" w:rsidP="001907B8">
            <w:pPr>
              <w:spacing w:after="0"/>
              <w:rPr>
                <w:iCs/>
                <w:color w:val="000000"/>
                <w:sz w:val="22"/>
                <w:szCs w:val="22"/>
                <w:lang w:eastAsia="ar-SA"/>
              </w:rPr>
            </w:pPr>
            <w:r w:rsidRPr="001907B8">
              <w:rPr>
                <w:iCs/>
                <w:color w:val="000000"/>
                <w:sz w:val="22"/>
                <w:szCs w:val="22"/>
                <w:lang w:eastAsia="ar-SA"/>
              </w:rPr>
              <w:t xml:space="preserve">Кабеля электродов и кабель соединения с аккумулятором должен проходить внутри несущей гильзы и вставляться в </w:t>
            </w:r>
            <w:r w:rsidRPr="001907B8">
              <w:rPr>
                <w:iCs/>
                <w:color w:val="000000"/>
                <w:sz w:val="22"/>
                <w:szCs w:val="22"/>
                <w:lang w:eastAsia="ar-SA"/>
              </w:rPr>
              <w:lastRenderedPageBreak/>
              <w:t xml:space="preserve">гнезда локтевого шара, и затем соединяться с коаксиальным штекером </w:t>
            </w:r>
            <w:proofErr w:type="spellStart"/>
            <w:r w:rsidRPr="001907B8">
              <w:rPr>
                <w:iCs/>
                <w:color w:val="000000"/>
                <w:sz w:val="22"/>
                <w:szCs w:val="22"/>
                <w:lang w:eastAsia="ar-SA"/>
              </w:rPr>
              <w:t>электрокисти</w:t>
            </w:r>
            <w:proofErr w:type="spellEnd"/>
            <w:r w:rsidRPr="001907B8">
              <w:rPr>
                <w:iCs/>
                <w:color w:val="000000"/>
                <w:sz w:val="22"/>
                <w:szCs w:val="22"/>
                <w:lang w:eastAsia="ar-SA"/>
              </w:rPr>
              <w:t xml:space="preserve">. </w:t>
            </w:r>
          </w:p>
          <w:p w:rsidR="00675AE1" w:rsidRPr="001907B8" w:rsidRDefault="00675AE1" w:rsidP="001907B8">
            <w:pPr>
              <w:spacing w:after="0"/>
              <w:rPr>
                <w:iCs/>
                <w:color w:val="000000"/>
                <w:sz w:val="22"/>
                <w:szCs w:val="22"/>
                <w:lang w:eastAsia="ar-SA"/>
              </w:rPr>
            </w:pPr>
            <w:r w:rsidRPr="001907B8">
              <w:rPr>
                <w:iCs/>
                <w:color w:val="000000"/>
                <w:sz w:val="22"/>
                <w:szCs w:val="22"/>
                <w:lang w:eastAsia="ar-SA"/>
              </w:rPr>
              <w:t xml:space="preserve">Запястье должно быть оснащено электромеханическим ротатором, угол поворота которого равен 360 градусов. Частота вращения при холостом ходе должна составлять 13,5 об/мин. Ток при максимальной нагрузке должен быть 1.000 мА. </w:t>
            </w:r>
          </w:p>
          <w:p w:rsidR="00675AE1" w:rsidRPr="001907B8" w:rsidRDefault="00675AE1" w:rsidP="001907B8">
            <w:pPr>
              <w:spacing w:after="0"/>
              <w:rPr>
                <w:iCs/>
                <w:color w:val="000000"/>
                <w:sz w:val="22"/>
                <w:szCs w:val="22"/>
                <w:lang w:eastAsia="ar-SA"/>
              </w:rPr>
            </w:pPr>
            <w:r w:rsidRPr="001907B8">
              <w:rPr>
                <w:iCs/>
                <w:color w:val="000000"/>
                <w:sz w:val="22"/>
                <w:szCs w:val="22"/>
                <w:lang w:eastAsia="ar-SA"/>
              </w:rPr>
              <w:t xml:space="preserve"> Ротатор должен состоять из привода шарнира с коаксиальным штекером и обоймы с замком кистевого шарнира. Должен снабжаться контролером для пропорционального управления, который позволяет также настроить 5 различных программ и осуществить подгонку в соответствии с потребностями пациента. Посредством миниатюрной передачи компактный мощный электродвигатель должен приводить в движение средний и указательный, а также большой пальцы. В качестве источника энергии служит заряжаемый литиево-ионный аккумулятор. </w:t>
            </w:r>
          </w:p>
          <w:p w:rsidR="00675AE1" w:rsidRPr="001907B8" w:rsidRDefault="00675AE1" w:rsidP="001907B8">
            <w:pPr>
              <w:spacing w:after="0"/>
              <w:rPr>
                <w:iCs/>
                <w:color w:val="000000"/>
                <w:sz w:val="22"/>
                <w:szCs w:val="22"/>
                <w:lang w:eastAsia="ar-SA"/>
              </w:rPr>
            </w:pPr>
            <w:r w:rsidRPr="001907B8">
              <w:rPr>
                <w:iCs/>
                <w:color w:val="000000"/>
                <w:sz w:val="22"/>
                <w:szCs w:val="22"/>
                <w:lang w:eastAsia="ar-SA"/>
              </w:rPr>
              <w:t>Протез должен комплектоваться косметической оболочкой из ПВХ.</w:t>
            </w:r>
          </w:p>
          <w:p w:rsidR="00675AE1" w:rsidRPr="001907B8" w:rsidRDefault="00675AE1" w:rsidP="001907B8">
            <w:pPr>
              <w:spacing w:after="0"/>
              <w:rPr>
                <w:iCs/>
                <w:color w:val="000000"/>
                <w:sz w:val="22"/>
                <w:szCs w:val="22"/>
                <w:lang w:eastAsia="ar-SA"/>
              </w:rPr>
            </w:pPr>
            <w:proofErr w:type="spellStart"/>
            <w:r w:rsidRPr="001907B8">
              <w:rPr>
                <w:iCs/>
                <w:color w:val="000000"/>
                <w:sz w:val="22"/>
                <w:szCs w:val="22"/>
                <w:lang w:eastAsia="ar-SA"/>
              </w:rPr>
              <w:t>Электрокисть</w:t>
            </w:r>
            <w:proofErr w:type="spellEnd"/>
            <w:r w:rsidRPr="001907B8">
              <w:rPr>
                <w:iCs/>
                <w:color w:val="000000"/>
                <w:sz w:val="22"/>
                <w:szCs w:val="22"/>
                <w:lang w:eastAsia="ar-SA"/>
              </w:rPr>
              <w:t xml:space="preserve"> должна управляться за счет пары контактных датчиков, пары </w:t>
            </w:r>
            <w:proofErr w:type="spellStart"/>
            <w:r w:rsidRPr="001907B8">
              <w:rPr>
                <w:iCs/>
                <w:color w:val="000000"/>
                <w:sz w:val="22"/>
                <w:szCs w:val="22"/>
                <w:lang w:eastAsia="ar-SA"/>
              </w:rPr>
              <w:t>миографических</w:t>
            </w:r>
            <w:proofErr w:type="spellEnd"/>
            <w:r w:rsidRPr="001907B8">
              <w:rPr>
                <w:iCs/>
                <w:color w:val="000000"/>
                <w:sz w:val="22"/>
                <w:szCs w:val="22"/>
                <w:lang w:eastAsia="ar-SA"/>
              </w:rPr>
              <w:t xml:space="preserve"> датчиков, либо комбинации </w:t>
            </w:r>
            <w:proofErr w:type="spellStart"/>
            <w:r w:rsidRPr="001907B8">
              <w:rPr>
                <w:iCs/>
                <w:color w:val="000000"/>
                <w:sz w:val="22"/>
                <w:szCs w:val="22"/>
                <w:lang w:eastAsia="ar-SA"/>
              </w:rPr>
              <w:t>миографического</w:t>
            </w:r>
            <w:proofErr w:type="spellEnd"/>
            <w:r w:rsidRPr="001907B8">
              <w:rPr>
                <w:iCs/>
                <w:color w:val="000000"/>
                <w:sz w:val="22"/>
                <w:szCs w:val="22"/>
                <w:lang w:eastAsia="ar-SA"/>
              </w:rPr>
              <w:t xml:space="preserve"> датчика и контактного датчика. Технические характеристики </w:t>
            </w:r>
            <w:proofErr w:type="spellStart"/>
            <w:r w:rsidRPr="001907B8">
              <w:rPr>
                <w:iCs/>
                <w:color w:val="000000"/>
                <w:sz w:val="22"/>
                <w:szCs w:val="22"/>
                <w:lang w:eastAsia="ar-SA"/>
              </w:rPr>
              <w:t>электрокисти</w:t>
            </w:r>
            <w:proofErr w:type="spellEnd"/>
            <w:r w:rsidRPr="001907B8">
              <w:rPr>
                <w:iCs/>
                <w:color w:val="000000"/>
                <w:sz w:val="22"/>
                <w:szCs w:val="22"/>
                <w:lang w:eastAsia="ar-SA"/>
              </w:rPr>
              <w:t xml:space="preserve"> и локтя: рабочее напряжение 6/7,2 В, рабочая температура 0-70 С.</w:t>
            </w:r>
          </w:p>
          <w:p w:rsidR="00675AE1" w:rsidRPr="001907B8" w:rsidRDefault="00675AE1" w:rsidP="0045055E">
            <w:pPr>
              <w:spacing w:after="0"/>
              <w:rPr>
                <w:iCs/>
                <w:color w:val="000000"/>
                <w:sz w:val="22"/>
                <w:szCs w:val="22"/>
                <w:lang w:eastAsia="ar-SA"/>
              </w:rPr>
            </w:pPr>
            <w:r w:rsidRPr="001907B8">
              <w:rPr>
                <w:iCs/>
                <w:color w:val="000000"/>
                <w:sz w:val="22"/>
                <w:szCs w:val="22"/>
                <w:lang w:eastAsia="ar-SA"/>
              </w:rPr>
              <w:t xml:space="preserve">Технические характеристики литиево-ионного аккумулятора: емкость более 1000 </w:t>
            </w:r>
            <w:proofErr w:type="spellStart"/>
            <w:r w:rsidRPr="001907B8">
              <w:rPr>
                <w:iCs/>
                <w:color w:val="000000"/>
                <w:sz w:val="22"/>
                <w:szCs w:val="22"/>
                <w:lang w:eastAsia="ar-SA"/>
              </w:rPr>
              <w:t>мАч</w:t>
            </w:r>
            <w:proofErr w:type="spellEnd"/>
            <w:r w:rsidRPr="001907B8">
              <w:rPr>
                <w:iCs/>
                <w:color w:val="000000"/>
                <w:sz w:val="22"/>
                <w:szCs w:val="22"/>
                <w:lang w:eastAsia="ar-SA"/>
              </w:rPr>
              <w:t xml:space="preserve">, время до полной зарядки </w:t>
            </w:r>
            <w:r w:rsidR="0045055E" w:rsidRPr="0045055E">
              <w:rPr>
                <w:iCs/>
                <w:color w:val="000000"/>
                <w:sz w:val="22"/>
                <w:szCs w:val="22"/>
                <w:lang w:eastAsia="ar-SA"/>
              </w:rPr>
              <w:t>не более</w:t>
            </w:r>
            <w:r w:rsidRPr="001907B8">
              <w:rPr>
                <w:iCs/>
                <w:color w:val="000000"/>
                <w:sz w:val="22"/>
                <w:szCs w:val="22"/>
                <w:lang w:eastAsia="ar-SA"/>
              </w:rPr>
              <w:t xml:space="preserve"> 3,5 часа, номинальное напряжение (среднее) 7,2 в.</w:t>
            </w:r>
          </w:p>
        </w:tc>
        <w:tc>
          <w:tcPr>
            <w:tcW w:w="306" w:type="pct"/>
          </w:tcPr>
          <w:p w:rsidR="00675AE1" w:rsidRPr="001907B8" w:rsidRDefault="00675AE1" w:rsidP="001907B8">
            <w:pPr>
              <w:keepLines/>
              <w:widowControl w:val="0"/>
              <w:spacing w:after="0"/>
              <w:rPr>
                <w:sz w:val="22"/>
                <w:szCs w:val="22"/>
                <w:lang w:eastAsia="ar-SA"/>
              </w:rPr>
            </w:pPr>
            <w:r w:rsidRPr="001907B8">
              <w:rPr>
                <w:sz w:val="22"/>
                <w:szCs w:val="22"/>
                <w:lang w:eastAsia="ar-SA"/>
              </w:rPr>
              <w:lastRenderedPageBreak/>
              <w:t>Штука</w:t>
            </w:r>
          </w:p>
        </w:tc>
        <w:tc>
          <w:tcPr>
            <w:tcW w:w="227" w:type="pct"/>
          </w:tcPr>
          <w:p w:rsidR="00675AE1" w:rsidRPr="001907B8" w:rsidRDefault="00675AE1" w:rsidP="001907B8">
            <w:pPr>
              <w:keepLines/>
              <w:widowControl w:val="0"/>
              <w:spacing w:after="0"/>
              <w:rPr>
                <w:sz w:val="22"/>
                <w:szCs w:val="22"/>
                <w:lang w:eastAsia="ar-SA"/>
              </w:rPr>
            </w:pPr>
            <w:r w:rsidRPr="001907B8">
              <w:rPr>
                <w:sz w:val="22"/>
                <w:szCs w:val="22"/>
                <w:lang w:eastAsia="ar-SA"/>
              </w:rPr>
              <w:t>1</w:t>
            </w:r>
          </w:p>
        </w:tc>
        <w:tc>
          <w:tcPr>
            <w:tcW w:w="489" w:type="pct"/>
          </w:tcPr>
          <w:p w:rsidR="00675AE1" w:rsidRPr="001907B8" w:rsidRDefault="00675AE1" w:rsidP="001907B8">
            <w:pPr>
              <w:keepLines/>
              <w:widowControl w:val="0"/>
              <w:spacing w:after="0"/>
              <w:rPr>
                <w:sz w:val="22"/>
                <w:szCs w:val="22"/>
                <w:lang w:eastAsia="ar-SA"/>
              </w:rPr>
            </w:pPr>
            <w:r w:rsidRPr="001907B8">
              <w:rPr>
                <w:sz w:val="22"/>
                <w:szCs w:val="22"/>
                <w:lang w:eastAsia="ar-SA"/>
              </w:rPr>
              <w:t>2 520 333,33</w:t>
            </w:r>
          </w:p>
        </w:tc>
        <w:tc>
          <w:tcPr>
            <w:tcW w:w="523" w:type="pct"/>
          </w:tcPr>
          <w:p w:rsidR="00675AE1" w:rsidRPr="001907B8" w:rsidRDefault="00675AE1" w:rsidP="001907B8">
            <w:pPr>
              <w:keepLines/>
              <w:widowControl w:val="0"/>
              <w:spacing w:after="0"/>
              <w:rPr>
                <w:sz w:val="22"/>
                <w:szCs w:val="22"/>
                <w:lang w:eastAsia="ar-SA"/>
              </w:rPr>
            </w:pPr>
            <w:r w:rsidRPr="001907B8">
              <w:rPr>
                <w:sz w:val="22"/>
                <w:szCs w:val="22"/>
                <w:lang w:eastAsia="ar-SA"/>
              </w:rPr>
              <w:t>2 520 333,33</w:t>
            </w:r>
          </w:p>
        </w:tc>
      </w:tr>
      <w:tr w:rsidR="00675AE1" w:rsidRPr="001907B8" w:rsidTr="001D393E">
        <w:tc>
          <w:tcPr>
            <w:tcW w:w="173" w:type="pct"/>
          </w:tcPr>
          <w:p w:rsidR="00675AE1" w:rsidRPr="001907B8" w:rsidRDefault="00675AE1" w:rsidP="001907B8">
            <w:pPr>
              <w:keepLines/>
              <w:widowControl w:val="0"/>
              <w:spacing w:after="0"/>
              <w:jc w:val="center"/>
              <w:rPr>
                <w:sz w:val="22"/>
                <w:szCs w:val="22"/>
                <w:lang w:eastAsia="ar-SA"/>
              </w:rPr>
            </w:pPr>
            <w:r w:rsidRPr="001907B8">
              <w:rPr>
                <w:sz w:val="22"/>
                <w:szCs w:val="22"/>
                <w:lang w:eastAsia="ar-SA"/>
              </w:rPr>
              <w:lastRenderedPageBreak/>
              <w:t>2</w:t>
            </w:r>
          </w:p>
        </w:tc>
        <w:tc>
          <w:tcPr>
            <w:tcW w:w="1159" w:type="pct"/>
          </w:tcPr>
          <w:p w:rsidR="00675AE1" w:rsidRPr="001907B8" w:rsidRDefault="00675AE1" w:rsidP="001907B8">
            <w:pPr>
              <w:keepLines/>
              <w:widowControl w:val="0"/>
              <w:spacing w:after="0"/>
              <w:jc w:val="center"/>
              <w:rPr>
                <w:sz w:val="22"/>
                <w:szCs w:val="22"/>
                <w:lang w:eastAsia="ar-SA"/>
              </w:rPr>
            </w:pPr>
            <w:r w:rsidRPr="001907B8">
              <w:rPr>
                <w:sz w:val="22"/>
                <w:szCs w:val="22"/>
                <w:lang w:eastAsia="ar-SA"/>
              </w:rPr>
              <w:t>Протез после вычленения плеча функционально-косметический</w:t>
            </w:r>
          </w:p>
        </w:tc>
        <w:tc>
          <w:tcPr>
            <w:tcW w:w="2123" w:type="pct"/>
          </w:tcPr>
          <w:p w:rsidR="00675AE1" w:rsidRPr="001907B8" w:rsidRDefault="00675AE1" w:rsidP="001907B8">
            <w:pPr>
              <w:spacing w:after="0"/>
              <w:rPr>
                <w:iCs/>
                <w:color w:val="000000"/>
                <w:sz w:val="22"/>
                <w:szCs w:val="22"/>
                <w:lang w:eastAsia="ar-SA"/>
              </w:rPr>
            </w:pPr>
            <w:r w:rsidRPr="001907B8">
              <w:rPr>
                <w:iCs/>
                <w:color w:val="000000"/>
                <w:sz w:val="22"/>
                <w:szCs w:val="22"/>
                <w:lang w:eastAsia="ar-SA"/>
              </w:rPr>
              <w:t xml:space="preserve">Протез после вычленении плеча функционально-косметический должен быть предназначен для восполнения косметического дефекта. </w:t>
            </w:r>
          </w:p>
          <w:p w:rsidR="00675AE1" w:rsidRPr="001907B8" w:rsidRDefault="00675AE1" w:rsidP="001907B8">
            <w:pPr>
              <w:spacing w:after="0"/>
              <w:rPr>
                <w:iCs/>
                <w:color w:val="000000"/>
                <w:sz w:val="22"/>
                <w:szCs w:val="22"/>
                <w:lang w:eastAsia="ar-SA"/>
              </w:rPr>
            </w:pPr>
            <w:r w:rsidRPr="001907B8">
              <w:rPr>
                <w:iCs/>
                <w:color w:val="000000"/>
                <w:sz w:val="22"/>
                <w:szCs w:val="22"/>
                <w:lang w:eastAsia="ar-SA"/>
              </w:rPr>
              <w:t xml:space="preserve">Протез должен состоять из наплечника по слепку, комплекта узлов для протеза после вычленения плеча функционально-косметического, узла локоть-предплечье </w:t>
            </w:r>
            <w:proofErr w:type="spellStart"/>
            <w:r w:rsidRPr="001907B8">
              <w:rPr>
                <w:iCs/>
                <w:color w:val="000000"/>
                <w:sz w:val="22"/>
                <w:szCs w:val="22"/>
                <w:lang w:eastAsia="ar-SA"/>
              </w:rPr>
              <w:t>эндоскелетного</w:t>
            </w:r>
            <w:proofErr w:type="spellEnd"/>
            <w:r w:rsidRPr="001907B8">
              <w:rPr>
                <w:iCs/>
                <w:color w:val="000000"/>
                <w:sz w:val="22"/>
                <w:szCs w:val="22"/>
                <w:lang w:eastAsia="ar-SA"/>
              </w:rPr>
              <w:t xml:space="preserve"> типа пассивного со ступенчатой фиксацией, с пассивной регулируемой ротацией плеча и предплечья, узла запястья, косметической кисти из силикона или пассивной искусственной кисти с косметической оболочкой из поливинилхлорида или силикона.</w:t>
            </w:r>
          </w:p>
          <w:p w:rsidR="00675AE1" w:rsidRPr="001907B8" w:rsidRDefault="00675AE1" w:rsidP="001907B8">
            <w:pPr>
              <w:spacing w:after="0"/>
              <w:rPr>
                <w:iCs/>
                <w:color w:val="000000"/>
                <w:sz w:val="22"/>
                <w:szCs w:val="22"/>
                <w:lang w:eastAsia="ar-SA"/>
              </w:rPr>
            </w:pPr>
            <w:r w:rsidRPr="001907B8">
              <w:rPr>
                <w:iCs/>
                <w:color w:val="000000"/>
                <w:sz w:val="22"/>
                <w:szCs w:val="22"/>
                <w:lang w:eastAsia="ar-SA"/>
              </w:rPr>
              <w:t>Узлы протеза должны быть покрыты мягкой поролоновой косметикой и обтянуты нейлоновым рукавом.</w:t>
            </w:r>
          </w:p>
          <w:p w:rsidR="00675AE1" w:rsidRPr="001907B8" w:rsidRDefault="00675AE1" w:rsidP="001907B8">
            <w:pPr>
              <w:spacing w:after="0"/>
              <w:rPr>
                <w:iCs/>
                <w:color w:val="000000"/>
                <w:sz w:val="22"/>
                <w:szCs w:val="22"/>
                <w:lang w:eastAsia="ar-SA"/>
              </w:rPr>
            </w:pPr>
            <w:r w:rsidRPr="001907B8">
              <w:rPr>
                <w:iCs/>
                <w:color w:val="000000"/>
                <w:sz w:val="22"/>
                <w:szCs w:val="22"/>
                <w:lang w:eastAsia="ar-SA"/>
              </w:rPr>
              <w:lastRenderedPageBreak/>
              <w:t xml:space="preserve">Приемная пробная гильза по слепку должна быть из листового термопласта. Приемная постоянная гильза по слепку должна быть из высокотемпературного силикона медицинского назначения, а несущая гильза из композитных материалов на основе акриловых смол. </w:t>
            </w:r>
          </w:p>
          <w:p w:rsidR="00675AE1" w:rsidRPr="001907B8" w:rsidRDefault="00675AE1" w:rsidP="001907B8">
            <w:pPr>
              <w:spacing w:after="0"/>
              <w:rPr>
                <w:iCs/>
                <w:color w:val="000000"/>
                <w:sz w:val="22"/>
                <w:szCs w:val="22"/>
                <w:lang w:eastAsia="ar-SA"/>
              </w:rPr>
            </w:pPr>
            <w:r w:rsidRPr="001907B8">
              <w:rPr>
                <w:iCs/>
                <w:color w:val="000000"/>
                <w:sz w:val="22"/>
                <w:szCs w:val="22"/>
                <w:lang w:eastAsia="ar-SA"/>
              </w:rPr>
              <w:t>Крепление должно быть индивидуальным.</w:t>
            </w:r>
          </w:p>
        </w:tc>
        <w:tc>
          <w:tcPr>
            <w:tcW w:w="306" w:type="pct"/>
          </w:tcPr>
          <w:p w:rsidR="00675AE1" w:rsidRPr="001907B8" w:rsidRDefault="00675AE1" w:rsidP="001907B8">
            <w:pPr>
              <w:keepLines/>
              <w:widowControl w:val="0"/>
              <w:spacing w:after="0"/>
              <w:jc w:val="center"/>
              <w:rPr>
                <w:sz w:val="22"/>
                <w:szCs w:val="22"/>
                <w:lang w:eastAsia="ar-SA"/>
              </w:rPr>
            </w:pPr>
            <w:r w:rsidRPr="001907B8">
              <w:rPr>
                <w:sz w:val="22"/>
                <w:szCs w:val="22"/>
                <w:lang w:eastAsia="ar-SA"/>
              </w:rPr>
              <w:lastRenderedPageBreak/>
              <w:t>штука</w:t>
            </w:r>
          </w:p>
        </w:tc>
        <w:tc>
          <w:tcPr>
            <w:tcW w:w="227" w:type="pct"/>
          </w:tcPr>
          <w:p w:rsidR="00675AE1" w:rsidRPr="001907B8" w:rsidRDefault="00675AE1" w:rsidP="001907B8">
            <w:pPr>
              <w:keepLines/>
              <w:widowControl w:val="0"/>
              <w:spacing w:after="0"/>
              <w:jc w:val="center"/>
              <w:rPr>
                <w:sz w:val="22"/>
                <w:szCs w:val="22"/>
                <w:lang w:eastAsia="ar-SA"/>
              </w:rPr>
            </w:pPr>
            <w:r w:rsidRPr="001907B8">
              <w:rPr>
                <w:sz w:val="22"/>
                <w:szCs w:val="22"/>
                <w:lang w:eastAsia="ar-SA"/>
              </w:rPr>
              <w:t>1</w:t>
            </w:r>
          </w:p>
        </w:tc>
        <w:tc>
          <w:tcPr>
            <w:tcW w:w="489" w:type="pct"/>
          </w:tcPr>
          <w:p w:rsidR="00675AE1" w:rsidRPr="001907B8" w:rsidRDefault="00675AE1" w:rsidP="001907B8">
            <w:pPr>
              <w:keepLines/>
              <w:widowControl w:val="0"/>
              <w:spacing w:after="0"/>
              <w:jc w:val="center"/>
              <w:rPr>
                <w:sz w:val="22"/>
                <w:szCs w:val="22"/>
                <w:lang w:eastAsia="ar-SA"/>
              </w:rPr>
            </w:pPr>
            <w:r w:rsidRPr="001907B8">
              <w:rPr>
                <w:sz w:val="22"/>
                <w:szCs w:val="22"/>
                <w:lang w:eastAsia="ar-SA"/>
              </w:rPr>
              <w:t>390 666,67</w:t>
            </w:r>
          </w:p>
        </w:tc>
        <w:tc>
          <w:tcPr>
            <w:tcW w:w="523" w:type="pct"/>
          </w:tcPr>
          <w:p w:rsidR="00675AE1" w:rsidRPr="001907B8" w:rsidRDefault="00675AE1" w:rsidP="001907B8">
            <w:pPr>
              <w:keepLines/>
              <w:widowControl w:val="0"/>
              <w:spacing w:after="0"/>
              <w:jc w:val="center"/>
              <w:rPr>
                <w:sz w:val="22"/>
                <w:szCs w:val="22"/>
                <w:lang w:eastAsia="ar-SA"/>
              </w:rPr>
            </w:pPr>
            <w:r w:rsidRPr="001907B8">
              <w:rPr>
                <w:sz w:val="22"/>
                <w:szCs w:val="22"/>
                <w:lang w:eastAsia="ar-SA"/>
              </w:rPr>
              <w:t>390 666,67</w:t>
            </w:r>
          </w:p>
        </w:tc>
      </w:tr>
      <w:tr w:rsidR="001907B8" w:rsidRPr="001907B8" w:rsidTr="00675AE1">
        <w:tc>
          <w:tcPr>
            <w:tcW w:w="3761" w:type="pct"/>
            <w:gridSpan w:val="4"/>
          </w:tcPr>
          <w:p w:rsidR="001907B8" w:rsidRPr="00523AE2" w:rsidRDefault="001907B8" w:rsidP="001907B8">
            <w:pPr>
              <w:keepLines/>
              <w:widowControl w:val="0"/>
              <w:spacing w:after="0"/>
              <w:rPr>
                <w:b/>
                <w:sz w:val="22"/>
                <w:szCs w:val="22"/>
                <w:lang w:eastAsia="ar-SA"/>
              </w:rPr>
            </w:pPr>
            <w:r w:rsidRPr="00523AE2">
              <w:rPr>
                <w:b/>
                <w:sz w:val="22"/>
                <w:szCs w:val="22"/>
                <w:lang w:eastAsia="ar-SA"/>
              </w:rPr>
              <w:lastRenderedPageBreak/>
              <w:t>ИТОГО:</w:t>
            </w:r>
          </w:p>
        </w:tc>
        <w:tc>
          <w:tcPr>
            <w:tcW w:w="227" w:type="pct"/>
          </w:tcPr>
          <w:p w:rsidR="001907B8" w:rsidRPr="00523AE2" w:rsidRDefault="001907B8" w:rsidP="001907B8">
            <w:pPr>
              <w:keepLines/>
              <w:widowControl w:val="0"/>
              <w:spacing w:after="0"/>
              <w:jc w:val="center"/>
              <w:rPr>
                <w:b/>
                <w:sz w:val="22"/>
                <w:szCs w:val="22"/>
                <w:lang w:eastAsia="ar-SA"/>
              </w:rPr>
            </w:pPr>
            <w:r w:rsidRPr="00523AE2">
              <w:rPr>
                <w:b/>
                <w:sz w:val="22"/>
                <w:szCs w:val="22"/>
                <w:lang w:eastAsia="ar-SA"/>
              </w:rPr>
              <w:t>2</w:t>
            </w:r>
          </w:p>
        </w:tc>
        <w:tc>
          <w:tcPr>
            <w:tcW w:w="489" w:type="pct"/>
          </w:tcPr>
          <w:p w:rsidR="001907B8" w:rsidRPr="00523AE2" w:rsidRDefault="001907B8" w:rsidP="001907B8">
            <w:pPr>
              <w:keepLines/>
              <w:widowControl w:val="0"/>
              <w:spacing w:after="0"/>
              <w:jc w:val="center"/>
              <w:rPr>
                <w:b/>
                <w:sz w:val="22"/>
                <w:szCs w:val="22"/>
                <w:lang w:eastAsia="ar-SA"/>
              </w:rPr>
            </w:pPr>
          </w:p>
        </w:tc>
        <w:tc>
          <w:tcPr>
            <w:tcW w:w="523" w:type="pct"/>
          </w:tcPr>
          <w:p w:rsidR="001907B8" w:rsidRPr="00523AE2" w:rsidRDefault="001907B8" w:rsidP="001907B8">
            <w:pPr>
              <w:keepLines/>
              <w:widowControl w:val="0"/>
              <w:spacing w:after="0"/>
              <w:jc w:val="center"/>
              <w:rPr>
                <w:b/>
                <w:sz w:val="22"/>
                <w:szCs w:val="22"/>
                <w:lang w:eastAsia="ar-SA"/>
              </w:rPr>
            </w:pPr>
            <w:r w:rsidRPr="00523AE2">
              <w:rPr>
                <w:b/>
                <w:sz w:val="22"/>
                <w:szCs w:val="22"/>
                <w:lang w:eastAsia="ar-SA"/>
              </w:rPr>
              <w:t>2</w:t>
            </w:r>
            <w:r w:rsidR="00523AE2">
              <w:rPr>
                <w:b/>
                <w:sz w:val="22"/>
                <w:szCs w:val="22"/>
                <w:lang w:eastAsia="ar-SA"/>
              </w:rPr>
              <w:t> </w:t>
            </w:r>
            <w:r w:rsidRPr="00523AE2">
              <w:rPr>
                <w:b/>
                <w:sz w:val="22"/>
                <w:szCs w:val="22"/>
                <w:lang w:eastAsia="ar-SA"/>
              </w:rPr>
              <w:t>911</w:t>
            </w:r>
            <w:r w:rsidR="00523AE2">
              <w:rPr>
                <w:b/>
                <w:sz w:val="22"/>
                <w:szCs w:val="22"/>
                <w:lang w:eastAsia="ar-SA"/>
              </w:rPr>
              <w:t xml:space="preserve"> </w:t>
            </w:r>
            <w:r w:rsidRPr="00523AE2">
              <w:rPr>
                <w:b/>
                <w:sz w:val="22"/>
                <w:szCs w:val="22"/>
                <w:lang w:eastAsia="ar-SA"/>
              </w:rPr>
              <w:t>000,00</w:t>
            </w:r>
          </w:p>
        </w:tc>
      </w:tr>
    </w:tbl>
    <w:p w:rsidR="00675AE1" w:rsidRPr="00675AE1" w:rsidRDefault="00675AE1" w:rsidP="00675AE1">
      <w:pPr>
        <w:spacing w:after="0"/>
        <w:ind w:firstLine="708"/>
      </w:pPr>
      <w:r w:rsidRPr="00675AE1">
        <w:t xml:space="preserve">В соответствии с приказом Минтруда России от 13.02.2018 № 85н «Об утверждении сроков пользования техническими средствами реабилитации, протезами и </w:t>
      </w:r>
      <w:proofErr w:type="spellStart"/>
      <w:r w:rsidRPr="00675AE1">
        <w:t>протезно</w:t>
      </w:r>
      <w:proofErr w:type="spellEnd"/>
      <w:r w:rsidRPr="00675AE1">
        <w:t xml:space="preserve"> – ортопедическими изделиями до их замены» срок пользования техническими средствами реабилитации, протезом и протезно-ортопедическим изделием (далее ТСР) должен исчисляться с даты предоставления его инвалиду.</w:t>
      </w:r>
    </w:p>
    <w:p w:rsidR="00675AE1" w:rsidRPr="00675AE1" w:rsidRDefault="00675AE1" w:rsidP="00675AE1">
      <w:pPr>
        <w:spacing w:after="0"/>
        <w:ind w:firstLine="709"/>
        <w:rPr>
          <w:lang w:eastAsia="ar-SA"/>
        </w:rPr>
      </w:pPr>
      <w:r w:rsidRPr="00675AE1">
        <w:rPr>
          <w:b/>
          <w:lang w:eastAsia="ar-SA"/>
        </w:rPr>
        <w:t>Условия и сроки (периоды) выполнения работ:</w:t>
      </w:r>
      <w:r w:rsidRPr="00675AE1">
        <w:rPr>
          <w:lang w:eastAsia="ar-SA"/>
        </w:rPr>
        <w:t xml:space="preserve"> Изготовление и обеспечение протезно-ортопедическими изделиями должно осуществляться непосредственно Получателю на основании направления. Срок изготовления протезно-ортопедического изделия не должен превышать 60 дней со дня обращения инвалида с направлением Заказчика. Срок завершения работ не позднее 30.08.2020 года. Срок действия направления не позднее 30.06.2020 г.</w:t>
      </w:r>
    </w:p>
    <w:p w:rsidR="00675AE1" w:rsidRPr="00675AE1" w:rsidRDefault="00675AE1" w:rsidP="00675AE1">
      <w:pPr>
        <w:spacing w:after="0"/>
        <w:ind w:firstLine="709"/>
        <w:rPr>
          <w:lang w:eastAsia="ar-SA"/>
        </w:rPr>
      </w:pPr>
      <w:r w:rsidRPr="00675AE1">
        <w:rPr>
          <w:b/>
        </w:rPr>
        <w:t>Место выполнения работ.</w:t>
      </w:r>
      <w:r w:rsidRPr="00675AE1">
        <w:t xml:space="preserve"> </w:t>
      </w:r>
      <w:r w:rsidRPr="00675AE1">
        <w:rPr>
          <w:lang w:eastAsia="ar-SA"/>
        </w:rPr>
        <w:t>Российская Федерация, работы должны выполняться по месту протезирования, протезно-ортопедические изделия должны выдаваться непосредственно Получателю.</w:t>
      </w:r>
    </w:p>
    <w:p w:rsidR="00675AE1" w:rsidRPr="00675AE1" w:rsidRDefault="00675AE1" w:rsidP="00675AE1">
      <w:pPr>
        <w:spacing w:after="0"/>
        <w:ind w:firstLine="709"/>
        <w:rPr>
          <w:color w:val="000000"/>
        </w:rPr>
      </w:pPr>
      <w:r w:rsidRPr="00675AE1">
        <w:rPr>
          <w:b/>
          <w:color w:val="000000"/>
        </w:rPr>
        <w:t>Требования к качеству работ</w:t>
      </w:r>
      <w:r w:rsidRPr="00675AE1">
        <w:rPr>
          <w:color w:val="000000"/>
        </w:rPr>
        <w:t>. Протез</w:t>
      </w:r>
      <w:r w:rsidRPr="00675AE1">
        <w:rPr>
          <w:bCs/>
          <w:lang w:eastAsia="ar-SA"/>
        </w:rPr>
        <w:t xml:space="preserve"> после вычленения плеча с электромеханическим приводом и контактной системой управления, протез после вычленения плеча функционально-косметический</w:t>
      </w:r>
      <w:r w:rsidRPr="00675AE1">
        <w:rPr>
          <w:color w:val="000000"/>
        </w:rPr>
        <w:t xml:space="preserve"> должен соответствовать требованиям Государственного стандарта РФ ГОСТ Р 51632-2014 «Технические средства реабилитации людей с ограничениями жизнедеятельности. Общие технические требования и методы испытаний».</w:t>
      </w:r>
    </w:p>
    <w:p w:rsidR="00675AE1" w:rsidRPr="00675AE1" w:rsidRDefault="00675AE1" w:rsidP="00675AE1">
      <w:pPr>
        <w:widowControl w:val="0"/>
        <w:suppressAutoHyphens/>
        <w:spacing w:after="0"/>
        <w:ind w:firstLine="567"/>
        <w:rPr>
          <w:color w:val="000000"/>
        </w:rPr>
      </w:pPr>
      <w:r w:rsidRPr="00675AE1">
        <w:rPr>
          <w:b/>
          <w:color w:val="000000"/>
        </w:rPr>
        <w:t>Требования к техническим и функциональным характеристикам работ</w:t>
      </w:r>
      <w:r w:rsidRPr="00675AE1">
        <w:rPr>
          <w:color w:val="000000"/>
        </w:rPr>
        <w:t>. Выполняемые работы по обеспечению протезом</w:t>
      </w:r>
      <w:r w:rsidRPr="00675AE1">
        <w:rPr>
          <w:bCs/>
          <w:lang w:eastAsia="ar-SA"/>
        </w:rPr>
        <w:t xml:space="preserve"> после вычленения плеча с электромеханическим приводом и контактной системой управления, протезом после вычленения плеча функционально-косметическим</w:t>
      </w:r>
      <w:r w:rsidRPr="00675AE1">
        <w:rPr>
          <w:color w:val="000000"/>
        </w:rPr>
        <w:t xml:space="preserve"> должны 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 </w:t>
      </w:r>
    </w:p>
    <w:p w:rsidR="00675AE1" w:rsidRPr="00675AE1" w:rsidRDefault="00675AE1" w:rsidP="00675AE1">
      <w:pPr>
        <w:widowControl w:val="0"/>
        <w:suppressAutoHyphens/>
        <w:spacing w:after="0"/>
        <w:ind w:firstLine="567"/>
        <w:rPr>
          <w:color w:val="000000"/>
        </w:rPr>
      </w:pPr>
      <w:r w:rsidRPr="00675AE1">
        <w:rPr>
          <w:b/>
          <w:color w:val="000000"/>
        </w:rPr>
        <w:t>Работы по проведению комплекса медицинских, технических и организационных мероприятий</w:t>
      </w:r>
      <w:r w:rsidRPr="00675AE1">
        <w:rPr>
          <w:color w:val="000000"/>
        </w:rPr>
        <w:t>, должны быть направлены на частичное восстановление опорно-двигательных функций и (или) устранение косметических дефектов верхних конечностей пациента с помощью протез</w:t>
      </w:r>
      <w:r w:rsidRPr="00675AE1">
        <w:rPr>
          <w:bCs/>
          <w:lang w:eastAsia="ar-SA"/>
        </w:rPr>
        <w:t>а после вычленения плеча с электромеханическим приводом и контактной системой управления, протеза после вычленения плеча функционально-косметического</w:t>
      </w:r>
      <w:r w:rsidRPr="00675AE1">
        <w:rPr>
          <w:color w:val="000000"/>
        </w:rPr>
        <w:t>.</w:t>
      </w:r>
    </w:p>
    <w:p w:rsidR="00675AE1" w:rsidRPr="00675AE1" w:rsidRDefault="00675AE1" w:rsidP="00675AE1">
      <w:pPr>
        <w:widowControl w:val="0"/>
        <w:suppressAutoHyphens/>
        <w:spacing w:after="0"/>
        <w:ind w:firstLine="567"/>
        <w:rPr>
          <w:color w:val="000000"/>
        </w:rPr>
      </w:pPr>
      <w:r w:rsidRPr="00675AE1">
        <w:rPr>
          <w:b/>
          <w:color w:val="000000"/>
        </w:rPr>
        <w:t>Требования к результатам работ</w:t>
      </w:r>
      <w:r w:rsidRPr="00675AE1">
        <w:rPr>
          <w:color w:val="000000"/>
        </w:rPr>
        <w:t>. Работы по обеспечению протезами будут считаться эффективно исполненными, если у инвалида будут восстановлены опорная и двигательная функции конечностей, созданы условия для предупреждения развития деформации и благоприятного течения болезни. Работы по обеспечению протезами должны выполняться с надлежащим качеством и в установленные сроки.</w:t>
      </w:r>
    </w:p>
    <w:p w:rsidR="00675AE1" w:rsidRPr="00675AE1" w:rsidRDefault="00675AE1" w:rsidP="00675AE1">
      <w:pPr>
        <w:widowControl w:val="0"/>
        <w:suppressAutoHyphens/>
        <w:spacing w:after="0"/>
        <w:ind w:firstLine="567"/>
        <w:rPr>
          <w:color w:val="000000"/>
        </w:rPr>
      </w:pPr>
      <w:r w:rsidRPr="00675AE1">
        <w:rPr>
          <w:b/>
          <w:color w:val="000000"/>
        </w:rPr>
        <w:t>Срок предоставления гарантии на выполненные работы</w:t>
      </w:r>
      <w:r w:rsidRPr="00675AE1">
        <w:rPr>
          <w:color w:val="000000"/>
        </w:rPr>
        <w:t xml:space="preserve"> должен быть не менее 9 месяцев с момента выдачи изделия получателю.</w:t>
      </w:r>
    </w:p>
    <w:p w:rsidR="00675AE1" w:rsidRPr="00675AE1" w:rsidRDefault="00675AE1" w:rsidP="00675AE1">
      <w:pPr>
        <w:widowControl w:val="0"/>
        <w:suppressAutoHyphens/>
        <w:spacing w:after="0"/>
        <w:ind w:firstLine="567"/>
        <w:rPr>
          <w:color w:val="000000"/>
        </w:rPr>
      </w:pPr>
      <w:r w:rsidRPr="00675AE1">
        <w:rPr>
          <w:color w:val="000000"/>
        </w:rPr>
        <w:t>В течение гарантийного срока Исполнитель должен производить замену, ремонт изделия бесплатно. Срок выполнения гарантийного ремонта со дня обращения Получателя не должен превышать 20 рабочих дней.</w:t>
      </w:r>
    </w:p>
    <w:p w:rsidR="001907B8" w:rsidRDefault="001907B8" w:rsidP="00146F68">
      <w:pPr>
        <w:keepLines/>
        <w:widowControl w:val="0"/>
        <w:spacing w:after="0"/>
        <w:jc w:val="center"/>
        <w:rPr>
          <w:lang w:eastAsia="ar-SA"/>
        </w:rPr>
      </w:pPr>
    </w:p>
    <w:p w:rsidR="001907B8" w:rsidRPr="00643475" w:rsidRDefault="001907B8" w:rsidP="0045055E">
      <w:pPr>
        <w:spacing w:after="0"/>
        <w:rPr>
          <w:color w:val="000000"/>
        </w:rPr>
      </w:pPr>
    </w:p>
    <w:p w:rsidR="00D1503B" w:rsidRDefault="00523AE2"/>
    <w:sectPr w:rsidR="00D1503B" w:rsidSect="0045055E">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20A"/>
    <w:rsid w:val="00146F68"/>
    <w:rsid w:val="0017620A"/>
    <w:rsid w:val="001907B8"/>
    <w:rsid w:val="001A27F0"/>
    <w:rsid w:val="001D393E"/>
    <w:rsid w:val="0045055E"/>
    <w:rsid w:val="00523AE2"/>
    <w:rsid w:val="00675AE1"/>
    <w:rsid w:val="00F10336"/>
    <w:rsid w:val="00FC6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A6D904-F3DB-406B-B158-2E6210B8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F68"/>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5">
    <w:name w:val="Сетка таблицы35"/>
    <w:basedOn w:val="a1"/>
    <w:next w:val="a3"/>
    <w:uiPriority w:val="59"/>
    <w:rsid w:val="00146F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146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1091</Words>
  <Characters>6219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Krasnodar region office of FSI</Company>
  <LinksUpToDate>false</LinksUpToDate>
  <CharactersWithSpaces>7296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Коноплева Лидия Сергеевна</dc:creator>
  <cp:keywords/>
  <dc:description/>
  <cp:lastModifiedBy>Сигаева Лилия Александровна</cp:lastModifiedBy>
  <cp:revision>8</cp:revision>
  <dcterms:created xsi:type="dcterms:W3CDTF">2020-03-03T11:28:00Z</dcterms:created>
  <dcterms:modified xsi:type="dcterms:W3CDTF">2020-03-30T11:17:00Z</dcterms:modified>
</cp:coreProperties>
</file>