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98" w:rsidRDefault="00004198" w:rsidP="00004198">
      <w:pPr>
        <w:spacing w:after="0" w:line="240" w:lineRule="auto"/>
        <w:jc w:val="center"/>
        <w:rPr>
          <w:rFonts w:ascii="Times New Roman" w:hAnsi="Times New Roman"/>
          <w:bCs/>
          <w:kern w:val="1"/>
          <w:lang w:eastAsia="zh-CN"/>
        </w:rPr>
      </w:pPr>
      <w:r w:rsidRPr="00084BC2">
        <w:rPr>
          <w:rFonts w:ascii="Times New Roman" w:hAnsi="Times New Roman"/>
          <w:bCs/>
          <w:kern w:val="1"/>
          <w:lang w:eastAsia="zh-CN"/>
        </w:rPr>
        <w:t xml:space="preserve">Техническое задание на поставку </w:t>
      </w:r>
      <w:r w:rsidRPr="00D20894">
        <w:rPr>
          <w:rFonts w:ascii="Times New Roman" w:hAnsi="Times New Roman"/>
          <w:bCs/>
          <w:kern w:val="1"/>
          <w:lang w:eastAsia="zh-CN"/>
        </w:rPr>
        <w:t>бензина для обеспечения им автомобилей Государственного учреждения – Ивановского регионального отделения Фонда социального страхования Российской Федерации</w:t>
      </w:r>
    </w:p>
    <w:p w:rsidR="00004198" w:rsidRPr="00084BC2" w:rsidRDefault="00004198" w:rsidP="00004198">
      <w:pPr>
        <w:spacing w:after="0" w:line="240" w:lineRule="auto"/>
        <w:jc w:val="center"/>
        <w:rPr>
          <w:rFonts w:ascii="Times New Roman" w:hAnsi="Times New Roman"/>
          <w:sz w:val="24"/>
          <w:szCs w:val="24"/>
        </w:rPr>
      </w:pPr>
    </w:p>
    <w:tbl>
      <w:tblPr>
        <w:tblW w:w="11026" w:type="dxa"/>
        <w:jc w:val="center"/>
        <w:tblLayout w:type="fixed"/>
        <w:tblCellMar>
          <w:left w:w="10" w:type="dxa"/>
          <w:right w:w="10" w:type="dxa"/>
        </w:tblCellMar>
        <w:tblLook w:val="0000" w:firstRow="0" w:lastRow="0" w:firstColumn="0" w:lastColumn="0" w:noHBand="0" w:noVBand="0"/>
      </w:tblPr>
      <w:tblGrid>
        <w:gridCol w:w="426"/>
        <w:gridCol w:w="1970"/>
        <w:gridCol w:w="2117"/>
        <w:gridCol w:w="2368"/>
        <w:gridCol w:w="1309"/>
        <w:gridCol w:w="1418"/>
        <w:gridCol w:w="1418"/>
      </w:tblGrid>
      <w:tr w:rsidR="00004198" w:rsidRPr="00D20894" w:rsidTr="00CF0007">
        <w:trPr>
          <w:trHeight w:val="645"/>
          <w:jc w:val="center"/>
        </w:trPr>
        <w:tc>
          <w:tcPr>
            <w:tcW w:w="426" w:type="dxa"/>
            <w:vMerge w:val="restart"/>
            <w:tcBorders>
              <w:top w:val="single" w:sz="4" w:space="0" w:color="auto"/>
              <w:left w:val="single" w:sz="4" w:space="0" w:color="auto"/>
              <w:right w:val="single" w:sz="2" w:space="0" w:color="000000"/>
            </w:tcBorders>
            <w:shd w:val="clear" w:color="auto" w:fill="auto"/>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r w:rsidRPr="00D20894">
              <w:rPr>
                <w:rFonts w:ascii="Times New Roman" w:eastAsia="Andale Sans UI" w:hAnsi="Times New Roman"/>
                <w:b/>
                <w:kern w:val="1"/>
                <w:sz w:val="20"/>
                <w:szCs w:val="20"/>
                <w:lang w:eastAsia="fa-IR" w:bidi="fa-IR"/>
              </w:rPr>
              <w:t>№ п/п</w:t>
            </w:r>
          </w:p>
        </w:tc>
        <w:tc>
          <w:tcPr>
            <w:tcW w:w="1970" w:type="dxa"/>
            <w:vMerge w:val="restart"/>
            <w:tcBorders>
              <w:top w:val="single" w:sz="1" w:space="0" w:color="000000"/>
              <w:left w:val="single" w:sz="2" w:space="0" w:color="000000"/>
              <w:right w:val="single" w:sz="2" w:space="0" w:color="000000"/>
            </w:tcBorders>
            <w:shd w:val="clear" w:color="auto" w:fill="auto"/>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r w:rsidRPr="00D20894">
              <w:rPr>
                <w:rFonts w:ascii="Times New Roman" w:eastAsia="Andale Sans UI" w:hAnsi="Times New Roman"/>
                <w:b/>
                <w:kern w:val="1"/>
                <w:sz w:val="20"/>
                <w:szCs w:val="20"/>
                <w:lang w:eastAsia="fa-IR" w:bidi="fa-IR"/>
              </w:rPr>
              <w:t>Наименование объекта закупки</w:t>
            </w:r>
          </w:p>
        </w:tc>
        <w:tc>
          <w:tcPr>
            <w:tcW w:w="4485" w:type="dxa"/>
            <w:gridSpan w:val="2"/>
            <w:tcBorders>
              <w:top w:val="single" w:sz="1" w:space="0" w:color="000000"/>
              <w:left w:val="single" w:sz="2" w:space="0" w:color="000000"/>
              <w:bottom w:val="single" w:sz="4"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r w:rsidRPr="00D20894">
              <w:rPr>
                <w:rFonts w:ascii="Times New Roman" w:eastAsia="Times New Roman" w:hAnsi="Times New Roman"/>
                <w:bCs/>
                <w:sz w:val="20"/>
                <w:szCs w:val="20"/>
                <w:lang w:eastAsia="ru-RU"/>
              </w:rPr>
              <w:t>Позиция в КАТАЛОГЕ ТОВАРОВ, РАБОТ, УСЛУГ (КТРУ)</w:t>
            </w:r>
            <w:r w:rsidRPr="00D20894">
              <w:rPr>
                <w:rFonts w:ascii="Times New Roman" w:eastAsia="Times New Roman" w:hAnsi="Times New Roman"/>
                <w:bCs/>
                <w:sz w:val="20"/>
                <w:szCs w:val="20"/>
                <w:vertAlign w:val="superscript"/>
                <w:lang w:eastAsia="ru-RU"/>
              </w:rPr>
              <w:footnoteReference w:id="1"/>
            </w:r>
          </w:p>
        </w:tc>
        <w:tc>
          <w:tcPr>
            <w:tcW w:w="1309" w:type="dxa"/>
            <w:vMerge w:val="restart"/>
            <w:tcBorders>
              <w:top w:val="single" w:sz="1" w:space="0" w:color="000000"/>
              <w:left w:val="single" w:sz="2"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r w:rsidRPr="00D20894">
              <w:rPr>
                <w:rFonts w:ascii="Times New Roman" w:eastAsia="Andale Sans UI" w:hAnsi="Times New Roman"/>
                <w:b/>
                <w:kern w:val="1"/>
                <w:sz w:val="20"/>
                <w:szCs w:val="20"/>
                <w:lang w:eastAsia="fa-IR" w:bidi="fa-IR"/>
              </w:rPr>
              <w:t>Количество (Литр; ^кубический дециметр (</w:t>
            </w:r>
            <w:proofErr w:type="gramStart"/>
            <w:r w:rsidRPr="00D20894">
              <w:rPr>
                <w:rFonts w:ascii="Times New Roman" w:eastAsia="Andale Sans UI" w:hAnsi="Times New Roman"/>
                <w:b/>
                <w:kern w:val="1"/>
                <w:sz w:val="20"/>
                <w:szCs w:val="20"/>
                <w:lang w:eastAsia="fa-IR" w:bidi="fa-IR"/>
              </w:rPr>
              <w:t>л;^</w:t>
            </w:r>
            <w:proofErr w:type="spellStart"/>
            <w:proofErr w:type="gramEnd"/>
            <w:r w:rsidRPr="00D20894">
              <w:rPr>
                <w:rFonts w:ascii="Times New Roman" w:eastAsia="Andale Sans UI" w:hAnsi="Times New Roman"/>
                <w:b/>
                <w:kern w:val="1"/>
                <w:sz w:val="20"/>
                <w:szCs w:val="20"/>
                <w:lang w:eastAsia="fa-IR" w:bidi="fa-IR"/>
              </w:rPr>
              <w:t>дм</w:t>
            </w:r>
            <w:proofErr w:type="spellEnd"/>
            <w:r w:rsidRPr="00D20894">
              <w:rPr>
                <w:rFonts w:ascii="Times New Roman" w:eastAsia="Andale Sans UI" w:hAnsi="Times New Roman"/>
                <w:b/>
                <w:kern w:val="1"/>
                <w:sz w:val="20"/>
                <w:szCs w:val="20"/>
                <w:lang w:eastAsia="fa-IR" w:bidi="fa-IR"/>
              </w:rPr>
              <w:t>[3*])</w:t>
            </w:r>
          </w:p>
        </w:tc>
        <w:tc>
          <w:tcPr>
            <w:tcW w:w="1418" w:type="dxa"/>
            <w:tcBorders>
              <w:top w:val="single" w:sz="1" w:space="0" w:color="000000"/>
              <w:left w:val="single" w:sz="2"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r>
              <w:rPr>
                <w:rFonts w:ascii="Times New Roman" w:eastAsia="Andale Sans UI" w:hAnsi="Times New Roman"/>
                <w:b/>
                <w:kern w:val="1"/>
                <w:sz w:val="20"/>
                <w:szCs w:val="20"/>
                <w:lang w:eastAsia="fa-IR" w:bidi="fa-IR"/>
              </w:rPr>
              <w:t>Цена за единицу товара (руб.)</w:t>
            </w:r>
          </w:p>
        </w:tc>
        <w:tc>
          <w:tcPr>
            <w:tcW w:w="1418" w:type="dxa"/>
            <w:tcBorders>
              <w:top w:val="single" w:sz="1" w:space="0" w:color="000000"/>
              <w:left w:val="single" w:sz="2"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r>
              <w:rPr>
                <w:rFonts w:ascii="Times New Roman" w:eastAsia="Andale Sans UI" w:hAnsi="Times New Roman"/>
                <w:b/>
                <w:kern w:val="1"/>
                <w:sz w:val="20"/>
                <w:szCs w:val="20"/>
                <w:lang w:eastAsia="fa-IR" w:bidi="fa-IR"/>
              </w:rPr>
              <w:t>Сумма (руб.)</w:t>
            </w:r>
          </w:p>
        </w:tc>
      </w:tr>
      <w:tr w:rsidR="00004198" w:rsidRPr="00D20894" w:rsidTr="00CF0007">
        <w:trPr>
          <w:trHeight w:val="615"/>
          <w:jc w:val="center"/>
        </w:trPr>
        <w:tc>
          <w:tcPr>
            <w:tcW w:w="426" w:type="dxa"/>
            <w:vMerge/>
            <w:tcBorders>
              <w:left w:val="single" w:sz="4" w:space="0" w:color="auto"/>
              <w:bottom w:val="single" w:sz="4" w:space="0" w:color="auto"/>
              <w:right w:val="single" w:sz="2" w:space="0" w:color="000000"/>
            </w:tcBorders>
            <w:shd w:val="clear" w:color="auto" w:fill="auto"/>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p>
        </w:tc>
        <w:tc>
          <w:tcPr>
            <w:tcW w:w="1970" w:type="dxa"/>
            <w:vMerge/>
            <w:tcBorders>
              <w:left w:val="single" w:sz="2" w:space="0" w:color="000000"/>
              <w:bottom w:val="single" w:sz="4" w:space="0" w:color="auto"/>
              <w:right w:val="single" w:sz="2" w:space="0" w:color="000000"/>
            </w:tcBorders>
            <w:shd w:val="clear" w:color="auto" w:fill="auto"/>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p>
        </w:tc>
        <w:tc>
          <w:tcPr>
            <w:tcW w:w="2117" w:type="dxa"/>
            <w:tcBorders>
              <w:top w:val="single" w:sz="4" w:space="0" w:color="000000"/>
              <w:left w:val="single" w:sz="2" w:space="0" w:color="000000"/>
              <w:bottom w:val="single" w:sz="1"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r w:rsidRPr="00D20894">
              <w:rPr>
                <w:rFonts w:ascii="Times New Roman" w:hAnsi="Times New Roman"/>
                <w:sz w:val="20"/>
                <w:szCs w:val="20"/>
              </w:rPr>
              <w:t>Наименование и код товара, работы, услуги по КТРУ</w:t>
            </w:r>
          </w:p>
        </w:tc>
        <w:tc>
          <w:tcPr>
            <w:tcW w:w="2368" w:type="dxa"/>
            <w:tcBorders>
              <w:top w:val="single" w:sz="4" w:space="0" w:color="000000"/>
              <w:left w:val="single" w:sz="2" w:space="0" w:color="000000"/>
              <w:bottom w:val="single" w:sz="4"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kern w:val="1"/>
                <w:sz w:val="20"/>
                <w:szCs w:val="20"/>
                <w:lang w:eastAsia="fa-IR" w:bidi="fa-IR"/>
              </w:rPr>
            </w:pPr>
            <w:r w:rsidRPr="00D20894">
              <w:rPr>
                <w:rFonts w:ascii="Times New Roman" w:eastAsia="Andale Sans UI" w:hAnsi="Times New Roman"/>
                <w:kern w:val="1"/>
                <w:sz w:val="20"/>
                <w:szCs w:val="20"/>
                <w:lang w:eastAsia="fa-IR" w:bidi="fa-IR"/>
              </w:rPr>
              <w:t>Описание товара, работы, услуги (при наличии такого описания в позиции) по КТРУ</w:t>
            </w:r>
          </w:p>
        </w:tc>
        <w:tc>
          <w:tcPr>
            <w:tcW w:w="1309" w:type="dxa"/>
            <w:vMerge/>
            <w:tcBorders>
              <w:left w:val="single" w:sz="2" w:space="0" w:color="000000"/>
              <w:bottom w:val="single" w:sz="1"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p>
        </w:tc>
        <w:tc>
          <w:tcPr>
            <w:tcW w:w="1418" w:type="dxa"/>
            <w:tcBorders>
              <w:left w:val="single" w:sz="2" w:space="0" w:color="000000"/>
              <w:bottom w:val="single" w:sz="1"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p>
        </w:tc>
        <w:tc>
          <w:tcPr>
            <w:tcW w:w="1418" w:type="dxa"/>
            <w:tcBorders>
              <w:left w:val="single" w:sz="2" w:space="0" w:color="000000"/>
              <w:bottom w:val="single" w:sz="1" w:space="0" w:color="000000"/>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b/>
                <w:kern w:val="1"/>
                <w:sz w:val="20"/>
                <w:szCs w:val="20"/>
                <w:lang w:eastAsia="fa-IR" w:bidi="fa-IR"/>
              </w:rPr>
            </w:pPr>
          </w:p>
        </w:tc>
      </w:tr>
      <w:tr w:rsidR="00004198" w:rsidRPr="00D20894" w:rsidTr="00CF0007">
        <w:trPr>
          <w:jc w:val="center"/>
        </w:trPr>
        <w:tc>
          <w:tcPr>
            <w:tcW w:w="426" w:type="dxa"/>
            <w:tcBorders>
              <w:top w:val="single" w:sz="4" w:space="0" w:color="auto"/>
              <w:left w:val="single" w:sz="4" w:space="0" w:color="auto"/>
              <w:bottom w:val="single" w:sz="4" w:space="0" w:color="auto"/>
              <w:right w:val="single" w:sz="2" w:space="0" w:color="000000"/>
            </w:tcBorders>
            <w:shd w:val="clear" w:color="auto" w:fill="auto"/>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kern w:val="1"/>
                <w:sz w:val="20"/>
                <w:szCs w:val="20"/>
                <w:lang w:eastAsia="fa-IR" w:bidi="fa-IR"/>
              </w:rPr>
            </w:pPr>
            <w:r w:rsidRPr="00D20894">
              <w:rPr>
                <w:rFonts w:ascii="Times New Roman" w:eastAsia="Andale Sans UI" w:hAnsi="Times New Roman"/>
                <w:kern w:val="1"/>
                <w:sz w:val="20"/>
                <w:szCs w:val="20"/>
                <w:lang w:eastAsia="fa-IR" w:bidi="fa-IR"/>
              </w:rPr>
              <w:t>1.</w:t>
            </w:r>
          </w:p>
        </w:tc>
        <w:tc>
          <w:tcPr>
            <w:tcW w:w="1970" w:type="dxa"/>
            <w:tcBorders>
              <w:top w:val="single" w:sz="4" w:space="0" w:color="auto"/>
              <w:left w:val="single" w:sz="2" w:space="0" w:color="000000"/>
              <w:bottom w:val="single" w:sz="4" w:space="0" w:color="auto"/>
              <w:right w:val="single" w:sz="2" w:space="0" w:color="000000"/>
            </w:tcBorders>
            <w:shd w:val="clear" w:color="auto" w:fill="auto"/>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kern w:val="1"/>
                <w:sz w:val="20"/>
                <w:szCs w:val="20"/>
                <w:lang w:eastAsia="fa-IR" w:bidi="fa-IR"/>
              </w:rPr>
            </w:pPr>
            <w:r w:rsidRPr="00D20894">
              <w:rPr>
                <w:rFonts w:ascii="Times New Roman" w:eastAsia="Andale Sans UI" w:hAnsi="Times New Roman"/>
                <w:kern w:val="1"/>
                <w:sz w:val="20"/>
                <w:szCs w:val="20"/>
                <w:lang w:eastAsia="fa-IR" w:bidi="fa-IR"/>
              </w:rPr>
              <w:t>Бензин автомобильный АИ-95 экологического класса не ниже К5 (розничная реализация).</w:t>
            </w:r>
          </w:p>
        </w:tc>
        <w:tc>
          <w:tcPr>
            <w:tcW w:w="2117" w:type="dxa"/>
            <w:tcBorders>
              <w:left w:val="single" w:sz="2" w:space="0" w:color="000000"/>
              <w:bottom w:val="single" w:sz="4" w:space="0" w:color="auto"/>
              <w:right w:val="single" w:sz="2" w:space="0" w:color="000000"/>
            </w:tcBorders>
          </w:tcPr>
          <w:p w:rsidR="00004198" w:rsidRPr="00D20894" w:rsidRDefault="00004198" w:rsidP="00CF0007">
            <w:pPr>
              <w:spacing w:after="0" w:line="240" w:lineRule="auto"/>
              <w:ind w:left="57" w:right="57"/>
              <w:rPr>
                <w:rFonts w:ascii="Times New Roman" w:hAnsi="Times New Roman"/>
                <w:sz w:val="20"/>
                <w:szCs w:val="20"/>
              </w:rPr>
            </w:pPr>
            <w:r w:rsidRPr="00D20894">
              <w:rPr>
                <w:rFonts w:ascii="Times New Roman" w:hAnsi="Times New Roman"/>
                <w:sz w:val="20"/>
                <w:szCs w:val="20"/>
              </w:rPr>
              <w:t>19.20.21.135-00001: Бензин автомобильный АИ-95 экологического класса не ниже К5 (розничная реализация)</w:t>
            </w:r>
          </w:p>
        </w:tc>
        <w:tc>
          <w:tcPr>
            <w:tcW w:w="2368" w:type="dxa"/>
            <w:tcBorders>
              <w:top w:val="single" w:sz="4" w:space="0" w:color="000000"/>
              <w:left w:val="single" w:sz="2" w:space="0" w:color="000000"/>
              <w:bottom w:val="single" w:sz="4" w:space="0" w:color="auto"/>
              <w:right w:val="single" w:sz="2" w:space="0" w:color="000000"/>
            </w:tcBorders>
          </w:tcPr>
          <w:p w:rsidR="00004198" w:rsidRPr="00D20894" w:rsidRDefault="00004198" w:rsidP="00CF0007">
            <w:pPr>
              <w:spacing w:after="0" w:line="240" w:lineRule="auto"/>
              <w:ind w:left="57" w:right="57"/>
              <w:rPr>
                <w:rFonts w:ascii="Times New Roman" w:hAnsi="Times New Roman"/>
                <w:sz w:val="20"/>
                <w:szCs w:val="20"/>
              </w:rPr>
            </w:pPr>
            <w:r w:rsidRPr="00D20894">
              <w:rPr>
                <w:rFonts w:ascii="Times New Roman" w:hAnsi="Times New Roman"/>
                <w:sz w:val="20"/>
                <w:szCs w:val="20"/>
              </w:rPr>
              <w:t xml:space="preserve">Октановое число бензина автомобильного по исследовательскому методу: ≥ 95 и </w:t>
            </w:r>
            <w:proofErr w:type="gramStart"/>
            <w:r w:rsidRPr="00D20894">
              <w:rPr>
                <w:rFonts w:ascii="Times New Roman" w:hAnsi="Times New Roman"/>
                <w:sz w:val="20"/>
                <w:szCs w:val="20"/>
              </w:rPr>
              <w:t>&lt; 98</w:t>
            </w:r>
            <w:proofErr w:type="gramEnd"/>
            <w:r w:rsidRPr="00D20894">
              <w:rPr>
                <w:rFonts w:ascii="Times New Roman" w:hAnsi="Times New Roman"/>
                <w:sz w:val="20"/>
                <w:szCs w:val="20"/>
              </w:rPr>
              <w:t xml:space="preserve">. </w:t>
            </w:r>
          </w:p>
          <w:p w:rsidR="00004198" w:rsidRPr="00D20894" w:rsidRDefault="00004198" w:rsidP="00CF0007">
            <w:pPr>
              <w:spacing w:after="0" w:line="240" w:lineRule="auto"/>
              <w:ind w:left="57" w:right="57"/>
              <w:rPr>
                <w:rFonts w:ascii="Times New Roman" w:hAnsi="Times New Roman"/>
                <w:sz w:val="20"/>
                <w:szCs w:val="20"/>
              </w:rPr>
            </w:pPr>
            <w:r w:rsidRPr="00D20894">
              <w:rPr>
                <w:rFonts w:ascii="Times New Roman" w:hAnsi="Times New Roman"/>
                <w:sz w:val="20"/>
                <w:szCs w:val="20"/>
              </w:rPr>
              <w:t xml:space="preserve">Экологический класс: не ниже К5.  </w:t>
            </w:r>
          </w:p>
        </w:tc>
        <w:tc>
          <w:tcPr>
            <w:tcW w:w="1309" w:type="dxa"/>
            <w:tcBorders>
              <w:left w:val="single" w:sz="2" w:space="0" w:color="000000"/>
              <w:bottom w:val="single" w:sz="4" w:space="0" w:color="auto"/>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eastAsia="Andale Sans UI" w:hAnsi="Times New Roman"/>
                <w:kern w:val="1"/>
                <w:sz w:val="20"/>
                <w:szCs w:val="20"/>
                <w:lang w:eastAsia="fa-IR" w:bidi="fa-IR"/>
              </w:rPr>
            </w:pPr>
            <w:r w:rsidRPr="00D20894">
              <w:rPr>
                <w:rFonts w:ascii="Times New Roman" w:hAnsi="Times New Roman"/>
                <w:sz w:val="20"/>
                <w:szCs w:val="20"/>
              </w:rPr>
              <w:t>22812</w:t>
            </w:r>
          </w:p>
        </w:tc>
        <w:tc>
          <w:tcPr>
            <w:tcW w:w="1418" w:type="dxa"/>
            <w:tcBorders>
              <w:left w:val="single" w:sz="2" w:space="0" w:color="000000"/>
              <w:bottom w:val="single" w:sz="4" w:space="0" w:color="auto"/>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hAnsi="Times New Roman"/>
                <w:sz w:val="20"/>
                <w:szCs w:val="20"/>
              </w:rPr>
            </w:pPr>
            <w:r>
              <w:rPr>
                <w:rFonts w:ascii="Times New Roman" w:hAnsi="Times New Roman"/>
                <w:sz w:val="20"/>
                <w:szCs w:val="20"/>
              </w:rPr>
              <w:t>45,93</w:t>
            </w:r>
          </w:p>
        </w:tc>
        <w:tc>
          <w:tcPr>
            <w:tcW w:w="1418" w:type="dxa"/>
            <w:tcBorders>
              <w:left w:val="single" w:sz="2" w:space="0" w:color="000000"/>
              <w:bottom w:val="single" w:sz="4" w:space="0" w:color="auto"/>
              <w:right w:val="single" w:sz="2" w:space="0" w:color="000000"/>
            </w:tcBorders>
          </w:tcPr>
          <w:p w:rsidR="00004198" w:rsidRPr="00D20894" w:rsidRDefault="00004198" w:rsidP="00CF0007">
            <w:pPr>
              <w:widowControl w:val="0"/>
              <w:suppressLineNumbers/>
              <w:suppressAutoHyphens/>
              <w:snapToGrid w:val="0"/>
              <w:spacing w:after="0" w:line="240" w:lineRule="auto"/>
              <w:jc w:val="center"/>
              <w:textAlignment w:val="baseline"/>
              <w:rPr>
                <w:rFonts w:ascii="Times New Roman" w:hAnsi="Times New Roman"/>
                <w:sz w:val="20"/>
                <w:szCs w:val="20"/>
              </w:rPr>
            </w:pPr>
            <w:r>
              <w:rPr>
                <w:rFonts w:ascii="Times New Roman" w:hAnsi="Times New Roman"/>
                <w:sz w:val="20"/>
                <w:szCs w:val="20"/>
              </w:rPr>
              <w:t>1047755,16</w:t>
            </w:r>
          </w:p>
        </w:tc>
      </w:tr>
    </w:tbl>
    <w:p w:rsidR="00004198" w:rsidRDefault="00004198" w:rsidP="00004198">
      <w:pPr>
        <w:spacing w:after="0" w:line="240" w:lineRule="auto"/>
        <w:jc w:val="center"/>
        <w:rPr>
          <w:rFonts w:ascii="Times New Roman" w:hAnsi="Times New Roman"/>
          <w:sz w:val="24"/>
          <w:szCs w:val="24"/>
        </w:rPr>
      </w:pP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Тип поставки топлива: регулируемый топливной картой на автозаправочной станции.</w:t>
      </w:r>
    </w:p>
    <w:p w:rsidR="00004198" w:rsidRPr="007E63C1" w:rsidRDefault="00004198" w:rsidP="00004198">
      <w:pPr>
        <w:spacing w:after="0" w:line="240" w:lineRule="auto"/>
        <w:jc w:val="both"/>
        <w:rPr>
          <w:rFonts w:ascii="Times New Roman" w:hAnsi="Times New Roman"/>
          <w:sz w:val="24"/>
          <w:szCs w:val="24"/>
        </w:rPr>
      </w:pPr>
    </w:p>
    <w:p w:rsidR="00004198" w:rsidRPr="007E63C1" w:rsidRDefault="00004198" w:rsidP="00004198">
      <w:pPr>
        <w:spacing w:after="0" w:line="240" w:lineRule="auto"/>
        <w:ind w:firstLine="567"/>
        <w:jc w:val="center"/>
        <w:rPr>
          <w:rFonts w:ascii="Times New Roman" w:hAnsi="Times New Roman"/>
          <w:b/>
          <w:sz w:val="24"/>
          <w:szCs w:val="24"/>
        </w:rPr>
      </w:pPr>
      <w:r w:rsidRPr="007E63C1">
        <w:rPr>
          <w:rFonts w:ascii="Times New Roman" w:hAnsi="Times New Roman"/>
          <w:b/>
          <w:sz w:val="24"/>
          <w:szCs w:val="24"/>
        </w:rPr>
        <w:t xml:space="preserve">Требования к качеству </w:t>
      </w:r>
      <w:r>
        <w:rPr>
          <w:rFonts w:ascii="Times New Roman" w:hAnsi="Times New Roman"/>
          <w:b/>
          <w:sz w:val="24"/>
          <w:szCs w:val="24"/>
        </w:rPr>
        <w:t xml:space="preserve">и безопасности </w:t>
      </w:r>
      <w:r w:rsidRPr="007E63C1">
        <w:rPr>
          <w:rFonts w:ascii="Times New Roman" w:hAnsi="Times New Roman"/>
          <w:b/>
          <w:sz w:val="24"/>
          <w:szCs w:val="24"/>
        </w:rPr>
        <w:t>товара</w:t>
      </w:r>
    </w:p>
    <w:p w:rsidR="00004198" w:rsidRPr="009B1E3C" w:rsidRDefault="00004198" w:rsidP="00004198">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пунктом 4.4</w:t>
      </w:r>
      <w:r w:rsidRPr="009B1E3C">
        <w:rPr>
          <w:rFonts w:ascii="Times New Roman" w:hAnsi="Times New Roman"/>
          <w:sz w:val="24"/>
          <w:szCs w:val="24"/>
        </w:rPr>
        <w:t xml:space="preserve"> ГОСТ</w:t>
      </w:r>
      <w:r>
        <w:rPr>
          <w:rFonts w:ascii="Times New Roman" w:hAnsi="Times New Roman"/>
          <w:sz w:val="24"/>
          <w:szCs w:val="24"/>
        </w:rPr>
        <w:t>а</w:t>
      </w:r>
      <w:r w:rsidRPr="009B1E3C">
        <w:rPr>
          <w:rFonts w:ascii="Times New Roman" w:hAnsi="Times New Roman"/>
          <w:sz w:val="24"/>
          <w:szCs w:val="24"/>
        </w:rPr>
        <w:t xml:space="preserve"> 32513-2013 «Топлива моторные. Бензин неэтилированный. Технические условия»</w:t>
      </w:r>
      <w:r w:rsidRPr="004D0391">
        <w:t xml:space="preserve"> </w:t>
      </w:r>
      <w:r>
        <w:t xml:space="preserve">и </w:t>
      </w:r>
      <w:r w:rsidRPr="004D0391">
        <w:rPr>
          <w:rFonts w:ascii="Times New Roman" w:hAnsi="Times New Roman"/>
          <w:sz w:val="24"/>
          <w:szCs w:val="24"/>
        </w:rPr>
        <w:t xml:space="preserve">пунктом </w:t>
      </w:r>
      <w:r>
        <w:rPr>
          <w:rFonts w:ascii="Times New Roman" w:hAnsi="Times New Roman"/>
          <w:sz w:val="24"/>
          <w:szCs w:val="24"/>
        </w:rPr>
        <w:t>4.3 статьи 4</w:t>
      </w:r>
      <w:r w:rsidRPr="004D0391">
        <w:rPr>
          <w:rFonts w:ascii="Times New Roman" w:hAnsi="Times New Roman"/>
          <w:sz w:val="24"/>
          <w:szCs w:val="24"/>
        </w:rPr>
        <w:t xml:space="preserve">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w:t>
      </w:r>
      <w:r>
        <w:rPr>
          <w:rFonts w:ascii="Times New Roman" w:hAnsi="Times New Roman"/>
          <w:sz w:val="24"/>
          <w:szCs w:val="24"/>
        </w:rPr>
        <w:t>, б</w:t>
      </w:r>
      <w:r w:rsidRPr="009B1E3C">
        <w:rPr>
          <w:rFonts w:ascii="Times New Roman" w:hAnsi="Times New Roman"/>
          <w:sz w:val="24"/>
          <w:szCs w:val="24"/>
        </w:rPr>
        <w:t>ензины могут содержать красители (кроме зеленого и голубого цветов) и вещества-метки.</w:t>
      </w:r>
    </w:p>
    <w:p w:rsidR="00004198" w:rsidRDefault="00004198" w:rsidP="00004198">
      <w:pPr>
        <w:spacing w:after="0" w:line="240" w:lineRule="auto"/>
        <w:ind w:firstLine="567"/>
        <w:jc w:val="both"/>
        <w:rPr>
          <w:rFonts w:ascii="Times New Roman" w:hAnsi="Times New Roman"/>
          <w:sz w:val="24"/>
          <w:szCs w:val="24"/>
        </w:rPr>
      </w:pPr>
      <w:r w:rsidRPr="009B1E3C">
        <w:rPr>
          <w:rFonts w:ascii="Times New Roman" w:hAnsi="Times New Roman"/>
          <w:sz w:val="24"/>
          <w:szCs w:val="24"/>
        </w:rPr>
        <w:t>В соответств</w:t>
      </w:r>
      <w:r>
        <w:rPr>
          <w:rFonts w:ascii="Times New Roman" w:hAnsi="Times New Roman"/>
          <w:sz w:val="24"/>
          <w:szCs w:val="24"/>
        </w:rPr>
        <w:t>ии с пунктом 4.4</w:t>
      </w:r>
      <w:r w:rsidRPr="009B1E3C">
        <w:rPr>
          <w:rFonts w:ascii="Times New Roman" w:hAnsi="Times New Roman"/>
          <w:sz w:val="24"/>
          <w:szCs w:val="24"/>
        </w:rPr>
        <w:t xml:space="preserve"> ГОСТа 32513-2013 «Топлива моторные. Бензин неэтилированный. Технические условия»</w:t>
      </w:r>
      <w:r>
        <w:rPr>
          <w:rFonts w:ascii="Times New Roman" w:hAnsi="Times New Roman"/>
          <w:sz w:val="24"/>
          <w:szCs w:val="24"/>
        </w:rPr>
        <w:t>, д</w:t>
      </w:r>
      <w:r w:rsidRPr="009B1E3C">
        <w:rPr>
          <w:rFonts w:ascii="Times New Roman" w:hAnsi="Times New Roman"/>
          <w:sz w:val="24"/>
          <w:szCs w:val="24"/>
        </w:rPr>
        <w:t>ля улучшения эксплуатационных качеств бензинов допускается применять антиокислительные, антикоррозионные, моющие и многофункциональные присадки, не оказывающи</w:t>
      </w:r>
      <w:r>
        <w:rPr>
          <w:rFonts w:ascii="Times New Roman" w:hAnsi="Times New Roman"/>
          <w:sz w:val="24"/>
          <w:szCs w:val="24"/>
        </w:rPr>
        <w:t xml:space="preserve">е вредных побочных воздействий. </w:t>
      </w:r>
      <w:r w:rsidRPr="009B1E3C">
        <w:rPr>
          <w:rFonts w:ascii="Times New Roman" w:hAnsi="Times New Roman"/>
          <w:sz w:val="24"/>
          <w:szCs w:val="24"/>
        </w:rPr>
        <w:t>При применении присадок и добавок в паспорте продукции на бензины обязательно указывают информацию об их фактическом содержании.</w:t>
      </w:r>
      <w:r>
        <w:rPr>
          <w:rFonts w:ascii="Times New Roman" w:hAnsi="Times New Roman"/>
          <w:sz w:val="24"/>
          <w:szCs w:val="24"/>
        </w:rPr>
        <w:t xml:space="preserve"> </w:t>
      </w:r>
    </w:p>
    <w:p w:rsidR="00004198" w:rsidRDefault="00004198" w:rsidP="00004198">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пунктом 4.4</w:t>
      </w:r>
      <w:r w:rsidRPr="004D0391">
        <w:rPr>
          <w:rFonts w:ascii="Times New Roman" w:hAnsi="Times New Roman"/>
          <w:sz w:val="24"/>
          <w:szCs w:val="24"/>
        </w:rPr>
        <w:t xml:space="preserve"> ГОСТа 32513-2013 «Топлива моторные. Бензин неэтилированный. Технические условия»</w:t>
      </w:r>
      <w:r>
        <w:rPr>
          <w:rFonts w:ascii="Times New Roman" w:hAnsi="Times New Roman"/>
          <w:sz w:val="24"/>
          <w:szCs w:val="24"/>
        </w:rPr>
        <w:t xml:space="preserve"> и </w:t>
      </w:r>
      <w:r w:rsidRPr="004D0391">
        <w:rPr>
          <w:rFonts w:ascii="Times New Roman" w:hAnsi="Times New Roman"/>
          <w:sz w:val="24"/>
          <w:szCs w:val="24"/>
        </w:rPr>
        <w:t>п</w:t>
      </w:r>
      <w:r>
        <w:rPr>
          <w:rFonts w:ascii="Times New Roman" w:hAnsi="Times New Roman"/>
          <w:sz w:val="24"/>
          <w:szCs w:val="24"/>
        </w:rPr>
        <w:t>унктом 4.2</w:t>
      </w:r>
      <w:r w:rsidRPr="004D0391">
        <w:rPr>
          <w:rFonts w:ascii="Times New Roman" w:hAnsi="Times New Roman"/>
          <w:sz w:val="24"/>
          <w:szCs w:val="24"/>
        </w:rPr>
        <w:t xml:space="preserve"> статьи 4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w:t>
      </w:r>
      <w:r>
        <w:rPr>
          <w:rFonts w:ascii="Times New Roman" w:hAnsi="Times New Roman"/>
          <w:sz w:val="24"/>
          <w:szCs w:val="24"/>
        </w:rPr>
        <w:t>, б</w:t>
      </w:r>
      <w:r w:rsidRPr="009B1E3C">
        <w:rPr>
          <w:rFonts w:ascii="Times New Roman" w:hAnsi="Times New Roman"/>
          <w:sz w:val="24"/>
          <w:szCs w:val="24"/>
        </w:rPr>
        <w:t xml:space="preserve">ензины не должны содержать металлосодержащие присадки (марганец, свинец и железо). </w:t>
      </w:r>
    </w:p>
    <w:p w:rsidR="00004198" w:rsidRDefault="00004198" w:rsidP="00004198">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пунктом 4.4</w:t>
      </w:r>
      <w:r w:rsidRPr="004D0391">
        <w:rPr>
          <w:rFonts w:ascii="Times New Roman" w:hAnsi="Times New Roman"/>
          <w:sz w:val="24"/>
          <w:szCs w:val="24"/>
        </w:rPr>
        <w:t xml:space="preserve"> ГОСТа 32513-2013 «Топлива моторные. Бензин неэтилированный. Технические условия»</w:t>
      </w:r>
      <w:r>
        <w:rPr>
          <w:rFonts w:ascii="Times New Roman" w:hAnsi="Times New Roman"/>
          <w:sz w:val="24"/>
          <w:szCs w:val="24"/>
        </w:rPr>
        <w:t>, п</w:t>
      </w:r>
      <w:r w:rsidRPr="009B1E3C">
        <w:rPr>
          <w:rFonts w:ascii="Times New Roman" w:hAnsi="Times New Roman"/>
          <w:sz w:val="24"/>
          <w:szCs w:val="24"/>
        </w:rPr>
        <w:t>родукция может содержать присадки, не причиняющие вред жизни и здоровью граждан, окружающей среде, имуществу физических и юридических лиц, жизни и здоровью животных и растений.</w:t>
      </w:r>
    </w:p>
    <w:p w:rsidR="00004198" w:rsidRDefault="00004198" w:rsidP="00004198">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пунктом 3.1 статьи 3 Технического</w:t>
      </w:r>
      <w:r w:rsidRPr="009B1E3C">
        <w:rPr>
          <w:rFonts w:ascii="Times New Roman" w:hAnsi="Times New Roman"/>
          <w:sz w:val="24"/>
          <w:szCs w:val="24"/>
        </w:rPr>
        <w:t xml:space="preserve"> регламент</w:t>
      </w:r>
      <w:r>
        <w:rPr>
          <w:rFonts w:ascii="Times New Roman" w:hAnsi="Times New Roman"/>
          <w:sz w:val="24"/>
          <w:szCs w:val="24"/>
        </w:rPr>
        <w:t>а</w:t>
      </w:r>
      <w:r w:rsidRPr="009B1E3C">
        <w:rPr>
          <w:rFonts w:ascii="Times New Roman" w:hAnsi="Times New Roman"/>
          <w:sz w:val="24"/>
          <w:szCs w:val="24"/>
        </w:rPr>
        <w:t xml:space="preserve"> Таможенного союза ТР ТС 013/2011 «О требованиях к автомобильному и авиационному бензину, дизельному и судовому топливу, топливу для реактивных дв</w:t>
      </w:r>
      <w:r>
        <w:rPr>
          <w:rFonts w:ascii="Times New Roman" w:hAnsi="Times New Roman"/>
          <w:sz w:val="24"/>
          <w:szCs w:val="24"/>
        </w:rPr>
        <w:t>игателей и мазуту», утвержденного</w:t>
      </w:r>
      <w:r w:rsidRPr="009B1E3C">
        <w:rPr>
          <w:rFonts w:ascii="Times New Roman" w:hAnsi="Times New Roman"/>
          <w:sz w:val="24"/>
          <w:szCs w:val="24"/>
        </w:rPr>
        <w:t xml:space="preserve"> решением Комиссии Таможенного союза от 18.10.2011 № 826</w:t>
      </w:r>
      <w:r>
        <w:rPr>
          <w:rFonts w:ascii="Times New Roman" w:hAnsi="Times New Roman"/>
          <w:sz w:val="24"/>
          <w:szCs w:val="24"/>
        </w:rPr>
        <w:t xml:space="preserve">, </w:t>
      </w:r>
      <w:r w:rsidRPr="00284B0A">
        <w:rPr>
          <w:rFonts w:ascii="Times New Roman" w:hAnsi="Times New Roman"/>
          <w:sz w:val="24"/>
          <w:szCs w:val="24"/>
        </w:rPr>
        <w:t>Товар должен иметь действующую декларацию о соответствии требованиям технического регламента Таможенного союза</w:t>
      </w:r>
      <w:r>
        <w:rPr>
          <w:rFonts w:ascii="Times New Roman" w:hAnsi="Times New Roman"/>
          <w:sz w:val="24"/>
          <w:szCs w:val="24"/>
        </w:rPr>
        <w:t>.</w:t>
      </w:r>
    </w:p>
    <w:p w:rsidR="00004198" w:rsidRPr="007E63C1" w:rsidRDefault="00004198" w:rsidP="00004198">
      <w:pPr>
        <w:spacing w:after="0" w:line="240" w:lineRule="auto"/>
        <w:ind w:firstLine="567"/>
        <w:jc w:val="center"/>
        <w:rPr>
          <w:rFonts w:ascii="Times New Roman" w:hAnsi="Times New Roman"/>
          <w:b/>
          <w:sz w:val="24"/>
          <w:szCs w:val="24"/>
        </w:rPr>
      </w:pPr>
      <w:r w:rsidRPr="007E63C1">
        <w:rPr>
          <w:rFonts w:ascii="Times New Roman" w:hAnsi="Times New Roman"/>
          <w:b/>
          <w:sz w:val="24"/>
          <w:szCs w:val="24"/>
        </w:rPr>
        <w:t>Требование к отгрузке товара</w:t>
      </w: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lastRenderedPageBreak/>
        <w:t xml:space="preserve">Количество </w:t>
      </w:r>
      <w:proofErr w:type="spellStart"/>
      <w:r w:rsidRPr="007E63C1">
        <w:rPr>
          <w:rFonts w:ascii="Times New Roman" w:hAnsi="Times New Roman"/>
          <w:sz w:val="24"/>
          <w:szCs w:val="24"/>
        </w:rPr>
        <w:t>бензозаправок</w:t>
      </w:r>
      <w:proofErr w:type="spellEnd"/>
      <w:r w:rsidRPr="007E63C1">
        <w:rPr>
          <w:rFonts w:ascii="Times New Roman" w:hAnsi="Times New Roman"/>
          <w:sz w:val="24"/>
          <w:szCs w:val="24"/>
        </w:rPr>
        <w:t xml:space="preserve">: </w:t>
      </w: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 xml:space="preserve">г. Иваново - не менее 10 шт., </w:t>
      </w: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 xml:space="preserve">г. Тейково - не менее 1 шт., </w:t>
      </w: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г. Кинешма - не менее 2 шт.,</w:t>
      </w: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 xml:space="preserve">г. Шуя - не менее 1 шт., </w:t>
      </w: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Круглосуточный отпуск бензина должен осуществляться на АЗС поставщика с использованием смарт-карт.</w:t>
      </w: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Выдача смарт-карт должна производиться за счет поставщика. Количество — 7 шт.</w:t>
      </w:r>
    </w:p>
    <w:p w:rsidR="00004198" w:rsidRPr="007E63C1" w:rsidRDefault="00004198" w:rsidP="00004198">
      <w:pPr>
        <w:spacing w:after="0" w:line="240" w:lineRule="auto"/>
        <w:ind w:firstLine="567"/>
        <w:jc w:val="both"/>
        <w:rPr>
          <w:rFonts w:ascii="Times New Roman" w:hAnsi="Times New Roman"/>
          <w:sz w:val="24"/>
          <w:szCs w:val="24"/>
        </w:rPr>
      </w:pPr>
    </w:p>
    <w:p w:rsidR="00004198" w:rsidRPr="007E63C1" w:rsidRDefault="00004198" w:rsidP="00004198">
      <w:pPr>
        <w:spacing w:after="0" w:line="240" w:lineRule="auto"/>
        <w:ind w:firstLine="567"/>
        <w:jc w:val="both"/>
        <w:rPr>
          <w:rFonts w:ascii="Times New Roman" w:hAnsi="Times New Roman"/>
          <w:sz w:val="24"/>
          <w:szCs w:val="24"/>
        </w:rPr>
      </w:pPr>
      <w:r w:rsidRPr="007E63C1">
        <w:rPr>
          <w:rFonts w:ascii="Times New Roman" w:hAnsi="Times New Roman"/>
          <w:sz w:val="24"/>
          <w:szCs w:val="24"/>
        </w:rPr>
        <w:t>Место доставки: Ивановская область.</w:t>
      </w:r>
    </w:p>
    <w:p w:rsidR="00004198" w:rsidRPr="007E63C1" w:rsidRDefault="00004198" w:rsidP="00004198">
      <w:pPr>
        <w:suppressAutoHyphens/>
        <w:autoSpaceDE w:val="0"/>
        <w:spacing w:after="120" w:line="240" w:lineRule="auto"/>
        <w:ind w:firstLine="567"/>
        <w:jc w:val="both"/>
        <w:rPr>
          <w:rFonts w:ascii="Times New Roman" w:hAnsi="Times New Roman"/>
          <w:sz w:val="24"/>
          <w:szCs w:val="24"/>
        </w:rPr>
      </w:pPr>
      <w:r w:rsidRPr="007E63C1">
        <w:rPr>
          <w:rFonts w:ascii="Times New Roman" w:hAnsi="Times New Roman"/>
          <w:sz w:val="24"/>
          <w:szCs w:val="24"/>
        </w:rPr>
        <w:t>Срок поставки: в течение 2020 г.</w:t>
      </w:r>
      <w:r w:rsidRPr="00E13640">
        <w:t xml:space="preserve"> </w:t>
      </w:r>
      <w:r w:rsidR="00FD5DF5" w:rsidRPr="00D36C31">
        <w:rPr>
          <w:rFonts w:ascii="Times New Roman" w:hAnsi="Times New Roman"/>
          <w:bCs/>
        </w:rPr>
        <w:t>(со дня заключения государственного контракта до 31.12.2020 года включительно)</w:t>
      </w:r>
      <w:bookmarkStart w:id="0" w:name="_GoBack"/>
      <w:bookmarkEnd w:id="0"/>
    </w:p>
    <w:p w:rsidR="00F7333F" w:rsidRDefault="00F7333F"/>
    <w:sectPr w:rsidR="00F733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98" w:rsidRDefault="00004198" w:rsidP="00004198">
      <w:pPr>
        <w:spacing w:after="0" w:line="240" w:lineRule="auto"/>
      </w:pPr>
      <w:r>
        <w:separator/>
      </w:r>
    </w:p>
  </w:endnote>
  <w:endnote w:type="continuationSeparator" w:id="0">
    <w:p w:rsidR="00004198" w:rsidRDefault="00004198" w:rsidP="0000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98" w:rsidRDefault="00004198" w:rsidP="00004198">
      <w:pPr>
        <w:spacing w:after="0" w:line="240" w:lineRule="auto"/>
      </w:pPr>
      <w:r>
        <w:separator/>
      </w:r>
    </w:p>
  </w:footnote>
  <w:footnote w:type="continuationSeparator" w:id="0">
    <w:p w:rsidR="00004198" w:rsidRDefault="00004198" w:rsidP="00004198">
      <w:pPr>
        <w:spacing w:after="0" w:line="240" w:lineRule="auto"/>
      </w:pPr>
      <w:r>
        <w:continuationSeparator/>
      </w:r>
    </w:p>
  </w:footnote>
  <w:footnote w:id="1">
    <w:p w:rsidR="00004198" w:rsidRPr="00EC525C" w:rsidRDefault="00004198" w:rsidP="00004198">
      <w:pPr>
        <w:pStyle w:val="a3"/>
        <w:jc w:val="both"/>
        <w:rPr>
          <w:sz w:val="18"/>
        </w:rPr>
      </w:pPr>
      <w:r w:rsidRPr="00EC525C">
        <w:rPr>
          <w:rStyle w:val="a5"/>
          <w:sz w:val="18"/>
        </w:rPr>
        <w:footnoteRef/>
      </w:r>
      <w:r w:rsidRPr="00EC525C">
        <w:rPr>
          <w:sz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98"/>
    <w:rsid w:val="00004198"/>
    <w:rsid w:val="00F7333F"/>
    <w:rsid w:val="00FD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67555-E1F7-4919-A570-AE885634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19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419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4"/>
    <w:qFormat/>
    <w:rsid w:val="00004198"/>
    <w:pPr>
      <w:suppressAutoHyphens/>
      <w:spacing w:after="0" w:line="240" w:lineRule="auto"/>
    </w:pPr>
    <w:rPr>
      <w:rFonts w:ascii="Times New Roman" w:eastAsia="Times New Roman" w:hAnsi="Times New Roman"/>
      <w:sz w:val="20"/>
      <w:szCs w:val="20"/>
      <w:lang w:eastAsia="zh-CN"/>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004198"/>
    <w:rPr>
      <w:rFonts w:ascii="Times New Roman" w:eastAsia="Times New Roman" w:hAnsi="Times New Roman" w:cs="Times New Roman"/>
      <w:sz w:val="20"/>
      <w:szCs w:val="20"/>
      <w:lang w:eastAsia="zh-CN"/>
    </w:rPr>
  </w:style>
  <w:style w:type="character" w:styleId="a5">
    <w:name w:val="footnote reference"/>
    <w:aliases w:val="Ссылка на сноску 45"/>
    <w:basedOn w:val="a0"/>
    <w:unhideWhenUsed/>
    <w:rsid w:val="00004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2</cp:revision>
  <dcterms:created xsi:type="dcterms:W3CDTF">2020-03-20T12:20:00Z</dcterms:created>
  <dcterms:modified xsi:type="dcterms:W3CDTF">2020-04-08T07:46:00Z</dcterms:modified>
</cp:coreProperties>
</file>