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A" w:rsidRPr="000534EB" w:rsidRDefault="00F05F7A" w:rsidP="001A29C9">
      <w:pPr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Техническое задание</w:t>
      </w:r>
    </w:p>
    <w:p w:rsidR="000D77CD" w:rsidRPr="000534EB" w:rsidRDefault="000D77CD" w:rsidP="000D77CD">
      <w:pPr>
        <w:ind w:left="284"/>
        <w:jc w:val="center"/>
        <w:rPr>
          <w:bCs/>
          <w:spacing w:val="-20"/>
          <w:sz w:val="26"/>
          <w:szCs w:val="26"/>
          <w:lang w:eastAsia="ru-RU"/>
        </w:rPr>
      </w:pPr>
      <w:r w:rsidRPr="000534EB">
        <w:rPr>
          <w:spacing w:val="-20"/>
          <w:sz w:val="26"/>
          <w:szCs w:val="26"/>
        </w:rPr>
        <w:t>на поставку застрахованным лицам, пострадавшим вследствие несчастных случаев на производстве и профессиональных заболеваний, автомобилей с адаптиро</w:t>
      </w:r>
      <w:r w:rsidR="00B379E2" w:rsidRPr="000534EB">
        <w:rPr>
          <w:spacing w:val="-20"/>
          <w:sz w:val="26"/>
          <w:szCs w:val="26"/>
        </w:rPr>
        <w:t>ванными органами управления</w:t>
      </w:r>
      <w:r w:rsidR="008F7DCD">
        <w:rPr>
          <w:spacing w:val="-20"/>
          <w:sz w:val="26"/>
          <w:szCs w:val="26"/>
        </w:rPr>
        <w:t xml:space="preserve"> в 2020 году</w:t>
      </w:r>
      <w:r w:rsidRPr="000534EB">
        <w:rPr>
          <w:spacing w:val="-20"/>
          <w:sz w:val="26"/>
          <w:szCs w:val="26"/>
        </w:rPr>
        <w:t>.</w:t>
      </w:r>
    </w:p>
    <w:p w:rsidR="00F05F7A" w:rsidRPr="000534EB" w:rsidRDefault="00F05F7A" w:rsidP="001A29C9">
      <w:pPr>
        <w:jc w:val="center"/>
        <w:rPr>
          <w:b/>
          <w:bCs/>
          <w:spacing w:val="-20"/>
          <w:sz w:val="26"/>
          <w:szCs w:val="26"/>
        </w:rPr>
      </w:pP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05F7A" w:rsidRPr="000534EB" w:rsidRDefault="00F05F7A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соответствовать Коду по Общероссийскому классификатору (ОКПД-2) ОК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 для Типа I- VI.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быть легковыми.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быть новыми, ранее не бывшими в эксплуатации.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должны быть 20</w:t>
      </w:r>
      <w:r w:rsidR="00B379E2" w:rsidRPr="000534EB">
        <w:rPr>
          <w:spacing w:val="-20"/>
          <w:sz w:val="26"/>
          <w:szCs w:val="26"/>
        </w:rPr>
        <w:t>20</w:t>
      </w:r>
      <w:r w:rsidRPr="000534EB">
        <w:rPr>
          <w:spacing w:val="-20"/>
          <w:sz w:val="26"/>
          <w:szCs w:val="26"/>
        </w:rPr>
        <w:t xml:space="preserve"> года изготовления.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Автомобили и средства управления по требованию Заказчика должны быть оборудованы средствами управления (специальное оборудование) для застрахованных лиц, получивших повреждение здоровья вследствие несчастных случаев на производстве и профессиональных заболеваний, с различными видами патологий нижних конечностей:</w:t>
      </w:r>
    </w:p>
    <w:p w:rsidR="00F05F7A" w:rsidRPr="000534EB" w:rsidRDefault="00F05F7A" w:rsidP="001A29C9">
      <w:pPr>
        <w:snapToGrid w:val="0"/>
        <w:rPr>
          <w:color w:val="000000"/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–– </w:t>
      </w:r>
      <w:r w:rsidR="000A358F">
        <w:rPr>
          <w:color w:val="000000"/>
          <w:spacing w:val="-20"/>
          <w:sz w:val="26"/>
          <w:szCs w:val="26"/>
        </w:rPr>
        <w:t>с нарушением функций обеих ног.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Специальные средства управления (адаптированные органы управления) должны иметь сертификат соответствия и сертифицированы в составе автомобиля.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</w:p>
    <w:p w:rsidR="00F05F7A" w:rsidRPr="000534EB" w:rsidRDefault="00F05F7A" w:rsidP="001A29C9">
      <w:pPr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Требования к гарантийному сроку и (или) объему предоставления гарантий на Товар</w:t>
      </w:r>
    </w:p>
    <w:p w:rsidR="001A29C9" w:rsidRPr="000534EB" w:rsidRDefault="001A29C9" w:rsidP="001A29C9">
      <w:pPr>
        <w:jc w:val="center"/>
        <w:rPr>
          <w:bCs/>
          <w:spacing w:val="-20"/>
          <w:sz w:val="26"/>
          <w:szCs w:val="26"/>
        </w:rPr>
      </w:pP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Гарантия на Товар</w:t>
      </w:r>
      <w:r w:rsidRPr="000534EB">
        <w:rPr>
          <w:color w:val="000000"/>
          <w:spacing w:val="-20"/>
          <w:sz w:val="26"/>
          <w:szCs w:val="26"/>
        </w:rPr>
        <w:t xml:space="preserve"> должна составлять</w:t>
      </w:r>
      <w:r w:rsidRPr="000534EB">
        <w:rPr>
          <w:spacing w:val="-20"/>
          <w:sz w:val="26"/>
          <w:szCs w:val="26"/>
        </w:rPr>
        <w:t xml:space="preserve"> не менее 36 месяцев или не менее 100 000 км (сто тысяч) пробега (в зависимости от того, что наступит раньше), с момента передачи его Заказчику.</w:t>
      </w:r>
    </w:p>
    <w:p w:rsidR="00F05F7A" w:rsidRPr="000534EB" w:rsidRDefault="00F05F7A" w:rsidP="001A29C9">
      <w:pPr>
        <w:autoSpaceDE w:val="0"/>
        <w:autoSpaceDN w:val="0"/>
        <w:adjustRightInd w:val="0"/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F05F7A" w:rsidRPr="000534EB" w:rsidRDefault="00F05F7A" w:rsidP="001A29C9">
      <w:pPr>
        <w:autoSpaceDE w:val="0"/>
        <w:autoSpaceDN w:val="0"/>
        <w:adjustRightInd w:val="0"/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Гарантия на дополнительное оборудование, устанавливаемое Поставщиком и передаваемое Заказчику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lastRenderedPageBreak/>
        <w:t xml:space="preserve">Условия и порядок гарантийного обслуживания Товара указаны в Сервисной книжке, выдаваемой Пользователю при фактической передачи Товара. </w:t>
      </w: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Дата передачи Товара Пользователю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F05F7A" w:rsidRPr="000534EB" w:rsidRDefault="00F05F7A" w:rsidP="001A29C9">
      <w:pPr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Гарантия утрачивает силу в случае нарушения Пользователем условий эксплуатации Товара, указанных в инструкции по его эксплуатации, а также при несоблюдении Пользователем требований, содержащихся в Сервисной книжке. </w:t>
      </w:r>
    </w:p>
    <w:p w:rsidR="00F05F7A" w:rsidRPr="000534EB" w:rsidRDefault="00F05F7A" w:rsidP="001A29C9">
      <w:pPr>
        <w:tabs>
          <w:tab w:val="center" w:pos="4677"/>
          <w:tab w:val="right" w:pos="8820"/>
        </w:tabs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Недостатки, обнаруженные в Товаре, подлежат устранению Поставщиком либо его официальным представителем в течение 30 (тридцати) рабочих дней с даты предъявления </w:t>
      </w:r>
      <w:r w:rsidRPr="000534EB">
        <w:rPr>
          <w:color w:val="000000"/>
          <w:spacing w:val="-20"/>
          <w:sz w:val="26"/>
          <w:szCs w:val="26"/>
        </w:rPr>
        <w:t>Пользователем</w:t>
      </w:r>
      <w:r w:rsidRPr="000534EB">
        <w:rPr>
          <w:spacing w:val="-20"/>
          <w:sz w:val="26"/>
          <w:szCs w:val="26"/>
        </w:rPr>
        <w:t xml:space="preserve"> соответствующего письменного требования и передачи Товара Поставщику, либо иному официальному представителю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представителю, в который обратился Получатель для выполнения работ.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 период гарантийного срока Поставщик (представитель Поставщика) обеспечивает сервисное обслуживание транспортного средства на станциях технического обслуживания, указанных в Перечне СТО, предоставленном Поставщиком (представителем Поставщика) Заказчику, в субъекте Российской Федерации, в котором находится Получатель.</w:t>
      </w: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Поставщик (представитель Поставщика) должен предоставить Заказчику информацию о названиях, адресах, телефонах, телефаксах, адресах электронной почты, Ф.И.О. ответственных лиц сервисных центров.</w:t>
      </w:r>
    </w:p>
    <w:p w:rsidR="009701A6" w:rsidRPr="000534EB" w:rsidRDefault="009701A6" w:rsidP="001A29C9">
      <w:pPr>
        <w:ind w:firstLine="709"/>
        <w:jc w:val="both"/>
        <w:rPr>
          <w:spacing w:val="-20"/>
          <w:sz w:val="26"/>
          <w:szCs w:val="26"/>
        </w:rPr>
      </w:pPr>
    </w:p>
    <w:p w:rsidR="00B379E2" w:rsidRPr="000534EB" w:rsidRDefault="00B379E2" w:rsidP="00B379E2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Обеспечение исполнения гарантийных обязательств.</w:t>
      </w:r>
    </w:p>
    <w:p w:rsidR="00B379E2" w:rsidRPr="000534EB" w:rsidRDefault="00B379E2" w:rsidP="00B379E2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bCs/>
          <w:spacing w:val="-20"/>
          <w:sz w:val="26"/>
          <w:szCs w:val="26"/>
        </w:rPr>
      </w:pPr>
    </w:p>
    <w:p w:rsidR="00E42955" w:rsidRPr="000534EB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72" w:firstLine="553"/>
        <w:jc w:val="both"/>
        <w:rPr>
          <w:spacing w:val="-20"/>
          <w:sz w:val="26"/>
          <w:szCs w:val="26"/>
        </w:rPr>
      </w:pPr>
      <w:r w:rsidRPr="000534EB">
        <w:rPr>
          <w:rFonts w:eastAsia="Calibri"/>
          <w:spacing w:val="-20"/>
          <w:sz w:val="26"/>
          <w:szCs w:val="26"/>
        </w:rPr>
        <w:t>Поставщик</w:t>
      </w:r>
      <w:r w:rsidRPr="000534EB">
        <w:rPr>
          <w:spacing w:val="-20"/>
          <w:sz w:val="26"/>
          <w:szCs w:val="26"/>
        </w:rPr>
        <w:t xml:space="preserve"> обязан предоставить обеспечение гарантийных обязательств по Контракту в размере 1 % от начальной максимальной цены контракта, что составляет</w:t>
      </w:r>
      <w:r w:rsidR="008F7DCD">
        <w:rPr>
          <w:spacing w:val="-20"/>
          <w:sz w:val="26"/>
          <w:szCs w:val="26"/>
        </w:rPr>
        <w:t xml:space="preserve"> 31639</w:t>
      </w:r>
      <w:r w:rsidRPr="000534EB">
        <w:rPr>
          <w:spacing w:val="-20"/>
          <w:sz w:val="26"/>
          <w:szCs w:val="26"/>
        </w:rPr>
        <w:t xml:space="preserve"> (</w:t>
      </w:r>
      <w:r w:rsidR="008F7DCD">
        <w:rPr>
          <w:spacing w:val="-20"/>
          <w:sz w:val="26"/>
          <w:szCs w:val="26"/>
        </w:rPr>
        <w:t>тридцать одну тысячу шестьсот тридцать девять</w:t>
      </w:r>
      <w:r w:rsidRPr="000534EB">
        <w:rPr>
          <w:spacing w:val="-20"/>
          <w:sz w:val="26"/>
          <w:szCs w:val="26"/>
        </w:rPr>
        <w:t>)</w:t>
      </w:r>
      <w:r w:rsidRPr="000534EB">
        <w:rPr>
          <w:rFonts w:eastAsia="Calibri"/>
          <w:spacing w:val="-20"/>
          <w:sz w:val="26"/>
          <w:szCs w:val="26"/>
        </w:rPr>
        <w:t xml:space="preserve"> </w:t>
      </w:r>
      <w:r w:rsidRPr="000534EB">
        <w:rPr>
          <w:spacing w:val="-20"/>
          <w:sz w:val="26"/>
          <w:szCs w:val="26"/>
        </w:rPr>
        <w:t>рубл</w:t>
      </w:r>
      <w:r w:rsidR="008F7DCD">
        <w:rPr>
          <w:spacing w:val="-20"/>
          <w:sz w:val="26"/>
          <w:szCs w:val="26"/>
        </w:rPr>
        <w:t>ей 00</w:t>
      </w:r>
      <w:r w:rsidRPr="000534EB">
        <w:rPr>
          <w:spacing w:val="-20"/>
          <w:sz w:val="26"/>
          <w:szCs w:val="26"/>
        </w:rPr>
        <w:t xml:space="preserve"> коп</w:t>
      </w:r>
      <w:r w:rsidR="00E42955" w:rsidRPr="000534EB">
        <w:rPr>
          <w:spacing w:val="-20"/>
          <w:sz w:val="26"/>
          <w:szCs w:val="26"/>
        </w:rPr>
        <w:t>.</w:t>
      </w:r>
    </w:p>
    <w:p w:rsidR="00B379E2" w:rsidRPr="000534EB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72" w:firstLine="553"/>
        <w:jc w:val="both"/>
        <w:rPr>
          <w:spacing w:val="-20"/>
          <w:sz w:val="26"/>
          <w:szCs w:val="26"/>
        </w:rPr>
      </w:pPr>
      <w:r w:rsidRPr="000534EB">
        <w:rPr>
          <w:rFonts w:eastAsia="Arial Unicode MS"/>
          <w:bCs/>
          <w:spacing w:val="-20"/>
          <w:sz w:val="26"/>
          <w:szCs w:val="26"/>
        </w:rPr>
        <w:t xml:space="preserve">Подписание Заказчиком первого Акта </w:t>
      </w:r>
      <w:r w:rsidRPr="000534EB">
        <w:rPr>
          <w:spacing w:val="-20"/>
          <w:sz w:val="26"/>
          <w:szCs w:val="26"/>
        </w:rPr>
        <w:t xml:space="preserve">приема-передачи Товара </w:t>
      </w:r>
      <w:r w:rsidRPr="000534EB">
        <w:rPr>
          <w:rFonts w:eastAsia="Calibri"/>
          <w:bCs/>
          <w:spacing w:val="-20"/>
          <w:sz w:val="26"/>
          <w:szCs w:val="26"/>
        </w:rPr>
        <w:t xml:space="preserve">осуществляется только после предоставления Поставщиком обеспечения гарантийных обязательств по контракту в виде банковской гарантии, соответствующей требованиям ст. 45 </w:t>
      </w:r>
      <w:r w:rsidRPr="000534EB">
        <w:rPr>
          <w:spacing w:val="-20"/>
          <w:sz w:val="26"/>
          <w:szCs w:val="26"/>
        </w:rPr>
        <w:t>Федерального закона от 05.04.2013 № 44-ФЗ</w:t>
      </w:r>
      <w:r w:rsidRPr="000534EB">
        <w:rPr>
          <w:rFonts w:eastAsia="Calibri"/>
          <w:bCs/>
          <w:spacing w:val="-20"/>
          <w:sz w:val="26"/>
          <w:szCs w:val="26"/>
        </w:rPr>
        <w:t>, или внесения денежных средств на счет Заказчика.</w:t>
      </w:r>
    </w:p>
    <w:p w:rsidR="00B379E2" w:rsidRPr="000534EB" w:rsidRDefault="00B379E2" w:rsidP="00B379E2">
      <w:pPr>
        <w:ind w:firstLine="709"/>
        <w:jc w:val="both"/>
        <w:rPr>
          <w:b/>
          <w:spacing w:val="-20"/>
          <w:sz w:val="26"/>
          <w:szCs w:val="26"/>
        </w:rPr>
      </w:pPr>
      <w:r w:rsidRPr="000534EB">
        <w:rPr>
          <w:rFonts w:eastAsia="Calibri"/>
          <w:b/>
          <w:bCs/>
          <w:spacing w:val="-20"/>
          <w:sz w:val="26"/>
          <w:szCs w:val="26"/>
        </w:rPr>
        <w:t xml:space="preserve">Банковские реквизиты для перечисления </w:t>
      </w:r>
      <w:r w:rsidRPr="000534EB">
        <w:rPr>
          <w:b/>
          <w:spacing w:val="-20"/>
          <w:sz w:val="26"/>
          <w:szCs w:val="26"/>
        </w:rPr>
        <w:t>обеспечения гарантийных обязательств по Контракту:</w:t>
      </w:r>
    </w:p>
    <w:p w:rsidR="00B379E2" w:rsidRPr="000534EB" w:rsidRDefault="00B379E2" w:rsidP="00B379E2">
      <w:pPr>
        <w:ind w:left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УФК по Карачаево-Черкесской Республике (ГУ-РО Фонда социального страхования Российской Федерации по Карачаево-Черкесской Республике, л/</w:t>
      </w:r>
      <w:proofErr w:type="spellStart"/>
      <w:r w:rsidRPr="000534EB">
        <w:rPr>
          <w:spacing w:val="-20"/>
          <w:sz w:val="26"/>
          <w:szCs w:val="26"/>
        </w:rPr>
        <w:t>сч</w:t>
      </w:r>
      <w:proofErr w:type="spellEnd"/>
      <w:r w:rsidRPr="000534EB">
        <w:rPr>
          <w:spacing w:val="-20"/>
          <w:sz w:val="26"/>
          <w:szCs w:val="26"/>
        </w:rPr>
        <w:t xml:space="preserve"> 05794С79000)</w:t>
      </w:r>
    </w:p>
    <w:p w:rsidR="00B379E2" w:rsidRPr="000534EB" w:rsidRDefault="00B379E2" w:rsidP="00B379E2">
      <w:pPr>
        <w:ind w:left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ИНН 0901003399</w:t>
      </w:r>
    </w:p>
    <w:p w:rsidR="00B379E2" w:rsidRPr="000534EB" w:rsidRDefault="00B379E2" w:rsidP="00B379E2">
      <w:pPr>
        <w:ind w:left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КПП 090101001</w:t>
      </w:r>
    </w:p>
    <w:p w:rsidR="00B379E2" w:rsidRPr="000534EB" w:rsidRDefault="00B379E2" w:rsidP="00B379E2">
      <w:pPr>
        <w:ind w:left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ОКТМО 91701000</w:t>
      </w:r>
    </w:p>
    <w:p w:rsidR="00B379E2" w:rsidRPr="000534EB" w:rsidRDefault="00B379E2" w:rsidP="00B379E2">
      <w:pPr>
        <w:ind w:left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Отделение-НБ Карачаево-Черкесская Республика г. Черкесск</w:t>
      </w:r>
    </w:p>
    <w:p w:rsidR="00B379E2" w:rsidRPr="000534EB" w:rsidRDefault="00B379E2" w:rsidP="00B379E2">
      <w:pPr>
        <w:ind w:left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р/с 40302810591337000125  </w:t>
      </w:r>
    </w:p>
    <w:p w:rsidR="00B379E2" w:rsidRPr="000534EB" w:rsidRDefault="00B379E2" w:rsidP="00B379E2">
      <w:pPr>
        <w:ind w:left="709"/>
        <w:rPr>
          <w:rFonts w:eastAsia="Arial Unicode MS"/>
          <w:bCs/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БИК 049133001</w:t>
      </w:r>
    </w:p>
    <w:p w:rsidR="00B379E2" w:rsidRPr="000534EB" w:rsidRDefault="00B379E2" w:rsidP="00B379E2">
      <w:pPr>
        <w:ind w:firstLine="708"/>
        <w:rPr>
          <w:rFonts w:eastAsia="Arial Unicode MS"/>
          <w:bCs/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Гарантийные обязательства могут обеспечиваться предоставлением банковской гарантии, выданной банком и соответствующей требованиям статьи 45 Федерального закона от 05.04.2013 № 44-ФЗ, или внесением денежных средств на указанный Заказчиком счет. Способ обеспечения гарантийных обязательств, срок действия банковской гарантии определяются в соответствии с требованиями Федерального закона от 05.04.2013 № 44-ФЗ Исполнителем самостоятельно. При этом </w:t>
      </w:r>
      <w:r w:rsidRPr="000534EB">
        <w:rPr>
          <w:spacing w:val="-20"/>
          <w:sz w:val="26"/>
          <w:szCs w:val="26"/>
        </w:rPr>
        <w:lastRenderedPageBreak/>
        <w:t>срок действия банковской гарантии должен превышать предусмотренный п. 9.1 Контракта срок исполнения обязательств, которые должны быть обеспечены такой банковской гарантией, не менее чем на 1 (один) месяц, в том числе в случае его изменения в соответствии со статьей 95 Федерального закона от 05.04.2013 № 44-ФЗ.</w:t>
      </w:r>
    </w:p>
    <w:p w:rsidR="00B379E2" w:rsidRPr="000534EB" w:rsidRDefault="00B379E2" w:rsidP="00B379E2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Возврат денежных средств, внесенных в качестве обеспечения гарантийных обязательств, осуществляется Заказчиком после истечения срока гарантийных обязательств, предусмотренных контрактом, и при отсутствии неисполненных гарантийных обязательств со стороны Исполнителя, на основании письменного запроса в течение 10 рабочих дней со дня поступления запроса Исполнителя. В письменном запросе Исполнителя должны быть указаны реквизиты для возврата денежных средств.</w:t>
      </w:r>
    </w:p>
    <w:p w:rsidR="00B379E2" w:rsidRPr="000534EB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50" w:firstLine="553"/>
        <w:jc w:val="both"/>
        <w:rPr>
          <w:rFonts w:eastAsia="Calibri"/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</w:t>
      </w:r>
      <w:r w:rsidRPr="000534EB">
        <w:rPr>
          <w:rFonts w:eastAsia="Calibri"/>
          <w:spacing w:val="-20"/>
          <w:sz w:val="26"/>
          <w:szCs w:val="26"/>
        </w:rPr>
        <w:t>Исполнитель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B379E2" w:rsidRPr="000534EB" w:rsidRDefault="00B379E2" w:rsidP="00B379E2">
      <w:pPr>
        <w:widowControl w:val="0"/>
        <w:shd w:val="clear" w:color="auto" w:fill="FFFFFF"/>
        <w:tabs>
          <w:tab w:val="left" w:pos="993"/>
          <w:tab w:val="left" w:pos="1468"/>
        </w:tabs>
        <w:ind w:left="43" w:right="50" w:firstLine="55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 случае отзыва в соответствии с законодательством Российской Федерации у банка, предоставившего банковскую гарантию в качестве обеспечения гарантийного обязательства, лицензии на осуществление банковских операций, Исполнитель обязан предоставить новое обеспечение гарантийных обязательств не позднее одного месяца со дня надлежащего уведомления заказчиком исполнителя о необходимости предоставить соответствующее обеспечение. За каждый день просрочки исполнения исполнителем обязательства, предусмотренного настоящим пунктом, начисляется пеня в размере, определенном в порядке, установленном в соответствии с частью 7 статьи 34 Федерального закона от 05.04.2013 N 44-ФЗ.</w:t>
      </w:r>
    </w:p>
    <w:p w:rsidR="00B379E2" w:rsidRPr="000534EB" w:rsidRDefault="00B379E2" w:rsidP="001A29C9">
      <w:pPr>
        <w:ind w:firstLine="709"/>
        <w:jc w:val="both"/>
        <w:rPr>
          <w:spacing w:val="-20"/>
          <w:sz w:val="26"/>
          <w:szCs w:val="26"/>
        </w:rPr>
      </w:pPr>
    </w:p>
    <w:p w:rsidR="00F05F7A" w:rsidRPr="000534EB" w:rsidRDefault="00F05F7A" w:rsidP="001A29C9">
      <w:pPr>
        <w:jc w:val="center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Требования к качеству товара</w:t>
      </w:r>
    </w:p>
    <w:p w:rsidR="009701A6" w:rsidRPr="000534EB" w:rsidRDefault="009701A6" w:rsidP="001A29C9">
      <w:pPr>
        <w:jc w:val="center"/>
        <w:rPr>
          <w:spacing w:val="-20"/>
          <w:sz w:val="26"/>
          <w:szCs w:val="26"/>
        </w:rPr>
      </w:pPr>
    </w:p>
    <w:p w:rsidR="00F05F7A" w:rsidRPr="000534EB" w:rsidRDefault="00F05F7A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F05F7A" w:rsidRPr="000534EB" w:rsidRDefault="00F05F7A" w:rsidP="001A29C9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pacing w:val="-20"/>
          <w:sz w:val="26"/>
          <w:szCs w:val="26"/>
        </w:rPr>
      </w:pPr>
      <w:r w:rsidRPr="000534EB">
        <w:rPr>
          <w:rFonts w:ascii="Times New Roman" w:hAnsi="Times New Roman"/>
          <w:spacing w:val="-20"/>
          <w:sz w:val="26"/>
          <w:szCs w:val="26"/>
        </w:rPr>
        <w:t xml:space="preserve">Качество и маркировка Товара должны соответствовать требованиям ТР ТС 018/2011. </w:t>
      </w:r>
    </w:p>
    <w:p w:rsidR="00F05F7A" w:rsidRPr="000534EB" w:rsidRDefault="00F05F7A" w:rsidP="001A29C9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pacing w:val="-20"/>
          <w:sz w:val="26"/>
          <w:szCs w:val="26"/>
        </w:rPr>
      </w:pPr>
      <w:r w:rsidRPr="000534EB">
        <w:rPr>
          <w:rFonts w:ascii="Times New Roman" w:hAnsi="Times New Roman"/>
          <w:spacing w:val="-20"/>
          <w:sz w:val="26"/>
          <w:szCs w:val="26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приема-передачи Товара.</w:t>
      </w:r>
    </w:p>
    <w:p w:rsidR="00F05F7A" w:rsidRPr="000534EB" w:rsidRDefault="00F05F7A" w:rsidP="001A29C9">
      <w:pPr>
        <w:pStyle w:val="-"/>
        <w:widowControl w:val="0"/>
        <w:tabs>
          <w:tab w:val="clear" w:pos="720"/>
          <w:tab w:val="left" w:pos="0"/>
        </w:tabs>
        <w:ind w:left="0" w:firstLine="741"/>
        <w:rPr>
          <w:rFonts w:ascii="Times New Roman" w:hAnsi="Times New Roman"/>
          <w:spacing w:val="-20"/>
          <w:sz w:val="26"/>
          <w:szCs w:val="26"/>
        </w:rPr>
      </w:pPr>
    </w:p>
    <w:p w:rsidR="001A29C9" w:rsidRPr="000534EB" w:rsidRDefault="001A29C9" w:rsidP="001A29C9">
      <w:pPr>
        <w:pStyle w:val="1"/>
        <w:rPr>
          <w:b w:val="0"/>
          <w:spacing w:val="-20"/>
        </w:rPr>
      </w:pPr>
      <w:r w:rsidRPr="000534EB">
        <w:rPr>
          <w:b w:val="0"/>
          <w:spacing w:val="-20"/>
        </w:rPr>
        <w:t>Порядок проверки и приемки Товара</w:t>
      </w:r>
    </w:p>
    <w:p w:rsidR="001A29C9" w:rsidRPr="000534EB" w:rsidRDefault="001A29C9" w:rsidP="001A29C9">
      <w:pPr>
        <w:rPr>
          <w:spacing w:val="-20"/>
          <w:sz w:val="26"/>
          <w:szCs w:val="26"/>
        </w:rPr>
      </w:pP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Проверка Товара осуществляется в присутствии полномочного представителя Поставщика и Заказчика на предмет его соответствия Техническому заданию. При осуществлении проверки Товара Заказчик вправе проверять: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 отсутствие внешних повреждений;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соблюдение установленных правил маркировки Товара (соответствие номера двигателя, кузова, транспортного средства, идентификационного номера (VIN) и других показателей содержанию представленных документов);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соответствие поставляемого Товара требованиям, установленным техническим заданием;</w:t>
      </w:r>
    </w:p>
    <w:p w:rsidR="001A29C9" w:rsidRPr="000534EB" w:rsidRDefault="001A29C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четкое и правильное оформление документов, удостоверяющих качество и комплектность поставляемого Товара.</w:t>
      </w:r>
    </w:p>
    <w:p w:rsidR="00400239" w:rsidRPr="000534EB" w:rsidRDefault="00400239" w:rsidP="0040023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Для проверки поставленного Товара Поставщиком, Заказчик проводит экспертизу. Экспертиза результатов, предусмотренных </w:t>
      </w:r>
      <w:r w:rsidR="00942FF7" w:rsidRPr="000534EB">
        <w:rPr>
          <w:spacing w:val="-20"/>
          <w:sz w:val="26"/>
          <w:szCs w:val="26"/>
        </w:rPr>
        <w:t>Техническим заданием</w:t>
      </w:r>
      <w:r w:rsidRPr="000534EB">
        <w:rPr>
          <w:spacing w:val="-20"/>
          <w:sz w:val="26"/>
          <w:szCs w:val="26"/>
        </w:rPr>
        <w:t xml:space="preserve">, может проводиться своими силами или к ее проведению могут привлекаться эксперты, экспертные организации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Проведение экспертизы результатов Заказчиком своими силами </w:t>
      </w:r>
      <w:r w:rsidRPr="000534EB">
        <w:rPr>
          <w:spacing w:val="-20"/>
          <w:sz w:val="26"/>
          <w:szCs w:val="26"/>
        </w:rPr>
        <w:lastRenderedPageBreak/>
        <w:t xml:space="preserve">осуществляется в части соответствия требованиям, установленным </w:t>
      </w:r>
      <w:r w:rsidR="00942FF7" w:rsidRPr="000534EB">
        <w:rPr>
          <w:spacing w:val="-20"/>
          <w:sz w:val="26"/>
          <w:szCs w:val="26"/>
        </w:rPr>
        <w:t>Техническим заданием</w:t>
      </w:r>
      <w:r w:rsidRPr="000534EB">
        <w:rPr>
          <w:spacing w:val="-20"/>
          <w:sz w:val="26"/>
          <w:szCs w:val="26"/>
        </w:rPr>
        <w:t>, на основании документов, представленных Поставщиком.</w:t>
      </w:r>
    </w:p>
    <w:p w:rsidR="00400239" w:rsidRPr="000534EB" w:rsidRDefault="00400239" w:rsidP="001A29C9">
      <w:pPr>
        <w:widowControl w:val="0"/>
        <w:ind w:firstLine="709"/>
        <w:jc w:val="both"/>
        <w:rPr>
          <w:spacing w:val="-20"/>
          <w:sz w:val="26"/>
          <w:szCs w:val="26"/>
        </w:rPr>
      </w:pPr>
    </w:p>
    <w:p w:rsidR="001A29C9" w:rsidRPr="000534EB" w:rsidRDefault="001A29C9" w:rsidP="001A29C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pacing w:val="-20"/>
        </w:rPr>
      </w:pPr>
      <w:r w:rsidRPr="000534EB">
        <w:rPr>
          <w:rFonts w:ascii="Times New Roman" w:hAnsi="Times New Roman" w:cs="Times New Roman"/>
          <w:color w:val="000000" w:themeColor="text1"/>
          <w:spacing w:val="-20"/>
        </w:rPr>
        <w:t xml:space="preserve">Условия </w:t>
      </w:r>
      <w:r w:rsidR="00A764D4" w:rsidRPr="000534EB">
        <w:rPr>
          <w:rFonts w:ascii="Times New Roman" w:hAnsi="Times New Roman" w:cs="Times New Roman"/>
          <w:color w:val="000000" w:themeColor="text1"/>
          <w:spacing w:val="-20"/>
        </w:rPr>
        <w:t xml:space="preserve">поставки и </w:t>
      </w:r>
      <w:r w:rsidRPr="000534EB">
        <w:rPr>
          <w:rFonts w:ascii="Times New Roman" w:hAnsi="Times New Roman" w:cs="Times New Roman"/>
          <w:color w:val="000000" w:themeColor="text1"/>
          <w:spacing w:val="-20"/>
        </w:rPr>
        <w:t>передачи автомобилей</w:t>
      </w:r>
    </w:p>
    <w:p w:rsidR="001A29C9" w:rsidRPr="000534EB" w:rsidRDefault="001A29C9" w:rsidP="001A29C9">
      <w:pPr>
        <w:rPr>
          <w:spacing w:val="-20"/>
          <w:sz w:val="26"/>
          <w:szCs w:val="26"/>
        </w:rPr>
      </w:pPr>
    </w:p>
    <w:p w:rsidR="00A764D4" w:rsidRPr="000534EB" w:rsidRDefault="00A764D4" w:rsidP="00A764D4">
      <w:pPr>
        <w:keepNext/>
        <w:widowControl w:val="0"/>
        <w:ind w:firstLine="567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   Поставить Товар непосредственно Получателю, при представлении им паспорта, в течение 20 дней после получения направления от Заказчика. 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Доставка до г. Черкесска, предпродажная подготовка, хранение до выдачи застрахованным лицам, получившим повреждение здоровья вследствие несчастных случаев на производстве и профессиональных заболеваний, Поставщиком осуществляется за собственный счет.</w:t>
      </w:r>
    </w:p>
    <w:p w:rsidR="001A29C9" w:rsidRPr="000534EB" w:rsidRDefault="001A29C9" w:rsidP="001A29C9">
      <w:pPr>
        <w:keepNext/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Передача</w:t>
      </w:r>
      <w:r w:rsidRPr="000534EB">
        <w:rPr>
          <w:bCs/>
          <w:spacing w:val="-20"/>
          <w:sz w:val="26"/>
          <w:szCs w:val="26"/>
        </w:rPr>
        <w:t xml:space="preserve"> </w:t>
      </w:r>
      <w:r w:rsidRPr="000534EB">
        <w:rPr>
          <w:spacing w:val="-20"/>
          <w:sz w:val="26"/>
          <w:szCs w:val="26"/>
        </w:rPr>
        <w:t>автомобилей Получателям осуществляется в присутствии полномочного представителя Поставщика и Заказчика, в г. Черкесск по адресу, указанному Поставщиком на основании Направления, выданного Получателю Заказчиком, при предъявлении им паспорта.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Факт передачи подтверждается под</w:t>
      </w:r>
      <w:bookmarkStart w:id="0" w:name="_GoBack"/>
      <w:bookmarkEnd w:id="0"/>
      <w:r w:rsidRPr="000534EB">
        <w:rPr>
          <w:spacing w:val="-20"/>
          <w:sz w:val="26"/>
          <w:szCs w:val="26"/>
        </w:rPr>
        <w:t>писанием Получателем и Поставщиком или представителем поставщика) акта приема-передачи Товара.</w:t>
      </w:r>
    </w:p>
    <w:p w:rsidR="001A29C9" w:rsidRPr="000534EB" w:rsidRDefault="001A29C9" w:rsidP="001A29C9">
      <w:pPr>
        <w:ind w:firstLine="708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При передаче Товара Поставщик обязан привести автомобиль в товарный вид.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Поставщик обязан обеспечить инструктаж и консультативную помощь получателю по правильному использованию Товара.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При передаче автомобиля Поставщик обязан разъяснять Получателю условия и требования к эксплуатации товара, а также разъяснять порядок обеспечения гарантийного ремонта товара.</w:t>
      </w:r>
    </w:p>
    <w:p w:rsidR="009701A6" w:rsidRPr="000534EB" w:rsidRDefault="009701A6" w:rsidP="001A29C9">
      <w:pPr>
        <w:tabs>
          <w:tab w:val="left" w:pos="1200"/>
          <w:tab w:val="left" w:pos="1701"/>
        </w:tabs>
        <w:ind w:firstLine="743"/>
        <w:jc w:val="center"/>
        <w:rPr>
          <w:spacing w:val="-20"/>
          <w:sz w:val="26"/>
          <w:szCs w:val="26"/>
        </w:rPr>
      </w:pPr>
    </w:p>
    <w:p w:rsidR="00F05F7A" w:rsidRPr="000534EB" w:rsidRDefault="00F05F7A" w:rsidP="001A29C9">
      <w:pPr>
        <w:tabs>
          <w:tab w:val="left" w:pos="1200"/>
          <w:tab w:val="left" w:pos="1701"/>
        </w:tabs>
        <w:ind w:firstLine="743"/>
        <w:jc w:val="center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Документы, передаваемые вместе с автомобилем</w:t>
      </w:r>
    </w:p>
    <w:p w:rsidR="009701A6" w:rsidRPr="000534EB" w:rsidRDefault="009701A6" w:rsidP="001A29C9">
      <w:pPr>
        <w:tabs>
          <w:tab w:val="left" w:pos="1200"/>
          <w:tab w:val="left" w:pos="1701"/>
        </w:tabs>
        <w:ind w:firstLine="743"/>
        <w:jc w:val="center"/>
        <w:rPr>
          <w:spacing w:val="-20"/>
          <w:sz w:val="26"/>
          <w:szCs w:val="26"/>
        </w:rPr>
      </w:pPr>
    </w:p>
    <w:p w:rsidR="00F05F7A" w:rsidRPr="000534EB" w:rsidRDefault="00F05F7A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При поставке Товара Поставщик предоставляет Получателю следующую документацию на русском языке: 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гарантийный талон на автомобиль;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-  сервисная книжка; </w:t>
      </w:r>
    </w:p>
    <w:p w:rsidR="00F05F7A" w:rsidRPr="000534EB" w:rsidRDefault="00F05F7A" w:rsidP="001A29C9">
      <w:pPr>
        <w:tabs>
          <w:tab w:val="left" w:pos="1200"/>
          <w:tab w:val="left" w:pos="1276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средств», с внесением записи следующего содержания «Автомобиль выдан на основании государственного контракта, заключенного между Государственным учреждением – региональным отделением Фонда социального страхования Российской Федерации по </w:t>
      </w:r>
      <w:proofErr w:type="spellStart"/>
      <w:r w:rsidRPr="000534EB">
        <w:rPr>
          <w:spacing w:val="-20"/>
          <w:sz w:val="26"/>
          <w:szCs w:val="26"/>
        </w:rPr>
        <w:t>Карачаево</w:t>
      </w:r>
      <w:proofErr w:type="spellEnd"/>
      <w:r w:rsidRPr="000534EB">
        <w:rPr>
          <w:spacing w:val="-20"/>
          <w:sz w:val="26"/>
          <w:szCs w:val="26"/>
        </w:rPr>
        <w:t xml:space="preserve"> – Черкесской Республике и ________________ от «__»_________20</w:t>
      </w:r>
      <w:r w:rsidR="00B379E2" w:rsidRPr="000534EB">
        <w:rPr>
          <w:spacing w:val="-20"/>
          <w:sz w:val="26"/>
          <w:szCs w:val="26"/>
        </w:rPr>
        <w:t>20</w:t>
      </w:r>
      <w:r w:rsidRPr="000534EB">
        <w:rPr>
          <w:spacing w:val="-20"/>
          <w:sz w:val="26"/>
          <w:szCs w:val="26"/>
        </w:rPr>
        <w:t xml:space="preserve"> № _____, и в соответствии с постановлением Правительства Российской Федерации от 15 мая 2006г.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 бесплатно и в собственность.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 руководство по эксплуатации транспортного средства;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 руководство по эксплуатации средствами управления (специальным оборудованием) для Типа I- VI;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lastRenderedPageBreak/>
        <w:t>-   действующее одобрение типа транспортного средства с указанием соответствия (заверенная копия);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действующий сертификат соответствия на устройства ручного управления автомобилями категории М1 для водителей – застрахованных лиц (заверенная копия</w:t>
      </w:r>
      <w:r w:rsidRPr="000534EB">
        <w:rPr>
          <w:b/>
          <w:spacing w:val="-20"/>
          <w:sz w:val="26"/>
          <w:szCs w:val="26"/>
        </w:rPr>
        <w:t xml:space="preserve">) </w:t>
      </w:r>
      <w:r w:rsidRPr="000534EB">
        <w:rPr>
          <w:spacing w:val="-20"/>
          <w:sz w:val="26"/>
          <w:szCs w:val="26"/>
        </w:rPr>
        <w:t>для Типа I- VI;</w:t>
      </w:r>
    </w:p>
    <w:p w:rsidR="00F05F7A" w:rsidRPr="000534EB" w:rsidRDefault="00F05F7A" w:rsidP="001A29C9">
      <w:pPr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 xml:space="preserve">            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05F7A" w:rsidRPr="000534EB" w:rsidRDefault="00F05F7A" w:rsidP="001A29C9">
      <w:pPr>
        <w:tabs>
          <w:tab w:val="left" w:pos="1200"/>
          <w:tab w:val="left" w:pos="1701"/>
        </w:tabs>
        <w:ind w:firstLine="1202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-  Акт приема-передачи Товара.</w:t>
      </w:r>
    </w:p>
    <w:p w:rsidR="001A29C9" w:rsidRPr="000534EB" w:rsidRDefault="001A29C9" w:rsidP="001A29C9">
      <w:pPr>
        <w:tabs>
          <w:tab w:val="left" w:pos="4965"/>
        </w:tabs>
        <w:jc w:val="center"/>
        <w:rPr>
          <w:bCs/>
          <w:spacing w:val="-20"/>
          <w:sz w:val="26"/>
          <w:szCs w:val="26"/>
        </w:rPr>
      </w:pPr>
    </w:p>
    <w:p w:rsidR="001A29C9" w:rsidRPr="000534EB" w:rsidRDefault="001A29C9" w:rsidP="001A29C9">
      <w:pPr>
        <w:tabs>
          <w:tab w:val="left" w:pos="4965"/>
        </w:tabs>
        <w:jc w:val="center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>Форма, сроки и порядок оплаты Товара</w:t>
      </w:r>
    </w:p>
    <w:p w:rsidR="00400239" w:rsidRPr="000534EB" w:rsidRDefault="00400239" w:rsidP="001A29C9">
      <w:pPr>
        <w:ind w:firstLine="709"/>
        <w:jc w:val="both"/>
        <w:rPr>
          <w:spacing w:val="-20"/>
          <w:sz w:val="26"/>
          <w:szCs w:val="26"/>
        </w:rPr>
      </w:pP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Расчет между Сторонами осуществляется по факту поставки Товара Получателям не позднее 15 (пятнадцати) рабочих дней на основании счета, выставленного Поставщиком, и документов, указанных в следующем пункте.</w:t>
      </w:r>
    </w:p>
    <w:p w:rsidR="001A29C9" w:rsidRPr="000534EB" w:rsidRDefault="001A29C9" w:rsidP="001A29C9">
      <w:pPr>
        <w:tabs>
          <w:tab w:val="left" w:pos="1200"/>
          <w:tab w:val="left" w:pos="1701"/>
        </w:tabs>
        <w:ind w:firstLine="743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Поставщик (Представитель Поставщика) не позднее двух рабочих дней со дня передачи Получателям автомобилей и подписания Актов приема-передачи Товара Получателем, передает Заказчику счет, накладную, Реестр получателей, а также по одному экземпляру на каждого Получателя: Акт приема-передачи</w:t>
      </w:r>
      <w:r w:rsidRPr="000534EB">
        <w:rPr>
          <w:color w:val="3366FF"/>
          <w:spacing w:val="-20"/>
          <w:sz w:val="26"/>
          <w:szCs w:val="26"/>
        </w:rPr>
        <w:t xml:space="preserve"> </w:t>
      </w:r>
      <w:r w:rsidRPr="000534EB">
        <w:rPr>
          <w:spacing w:val="-20"/>
          <w:sz w:val="26"/>
          <w:szCs w:val="26"/>
        </w:rPr>
        <w:t>Товара, Договор, отрывной талон к Направлению, копию паспорта транспортного средства, копию действующего одобрения типа транспортного средства с указанием соответствия, копию действующего сертификата соответствия на устройства ручного управления автомобилями категории М1 для водителей – застрахованных лиц.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Указанные документы передаются Поставщиком (Представителем Поставщика) Заказчику одновременно с передачей Акта исполнения Государственного контракта за период.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Акт исполнения Государственного контракта за период подписывается Заказчиком и Поставщиком (Представителем Поставщика) и заверяется печатями этих организаций.</w:t>
      </w:r>
    </w:p>
    <w:p w:rsidR="001A29C9" w:rsidRPr="000534EB" w:rsidRDefault="001A29C9" w:rsidP="001A29C9">
      <w:pPr>
        <w:ind w:firstLine="709"/>
        <w:jc w:val="both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В цену включаются все расходы по исполнению контракта, в т. ч. транспортировка, хранение и предпродажная подготовка,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 для Типа I - VI в соответствии с Приложением № 1), уплату утилизационного сбора, другие обязательные платежи, которые Поставщик должен оплатить в связи с исполнением обязательств в соответствии с действующим законодательством Российской Федерации.</w:t>
      </w:r>
    </w:p>
    <w:p w:rsidR="001A29C9" w:rsidRPr="000534EB" w:rsidRDefault="001A29C9" w:rsidP="001A29C9">
      <w:pPr>
        <w:pStyle w:val="a7"/>
        <w:spacing w:after="0"/>
        <w:ind w:firstLine="709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По итогам исполнения обязательств составляется Итоговый акт в двух экземплярах.</w:t>
      </w:r>
    </w:p>
    <w:tbl>
      <w:tblPr>
        <w:tblW w:w="101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1A29C9" w:rsidRPr="000534EB" w:rsidTr="00EF2EEB">
        <w:tc>
          <w:tcPr>
            <w:tcW w:w="5057" w:type="dxa"/>
          </w:tcPr>
          <w:p w:rsidR="001A29C9" w:rsidRPr="000534EB" w:rsidRDefault="001A29C9" w:rsidP="001A29C9">
            <w:pPr>
              <w:rPr>
                <w:spacing w:val="-20"/>
                <w:sz w:val="26"/>
                <w:szCs w:val="26"/>
              </w:rPr>
            </w:pPr>
          </w:p>
        </w:tc>
        <w:tc>
          <w:tcPr>
            <w:tcW w:w="5057" w:type="dxa"/>
          </w:tcPr>
          <w:p w:rsidR="001A29C9" w:rsidRPr="000534EB" w:rsidRDefault="001A29C9" w:rsidP="001A29C9">
            <w:pPr>
              <w:rPr>
                <w:spacing w:val="-20"/>
                <w:sz w:val="26"/>
                <w:szCs w:val="26"/>
              </w:rPr>
            </w:pPr>
          </w:p>
        </w:tc>
      </w:tr>
    </w:tbl>
    <w:p w:rsidR="00F05F7A" w:rsidRPr="000534EB" w:rsidRDefault="00F05F7A" w:rsidP="00400239">
      <w:pPr>
        <w:pStyle w:val="a5"/>
        <w:spacing w:after="0"/>
        <w:ind w:left="0"/>
        <w:jc w:val="center"/>
        <w:rPr>
          <w:spacing w:val="-20"/>
          <w:sz w:val="26"/>
          <w:szCs w:val="26"/>
        </w:rPr>
      </w:pPr>
      <w:r w:rsidRPr="000534EB">
        <w:rPr>
          <w:spacing w:val="-20"/>
          <w:sz w:val="26"/>
          <w:szCs w:val="26"/>
        </w:rPr>
        <w:t>Требования к количеству, техническим и функциональным характеристикам Товара</w:t>
      </w:r>
      <w:r w:rsidR="000908FC" w:rsidRPr="000534EB">
        <w:rPr>
          <w:spacing w:val="-20"/>
          <w:sz w:val="26"/>
          <w:szCs w:val="26"/>
        </w:rPr>
        <w:t xml:space="preserve"> </w:t>
      </w:r>
    </w:p>
    <w:p w:rsidR="000908FC" w:rsidRPr="000534EB" w:rsidRDefault="000908FC" w:rsidP="000908FC">
      <w:pPr>
        <w:rPr>
          <w:rFonts w:eastAsia="Calibri"/>
          <w:bCs/>
          <w:spacing w:val="-20"/>
          <w:sz w:val="26"/>
          <w:szCs w:val="26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560"/>
        <w:gridCol w:w="5244"/>
        <w:gridCol w:w="567"/>
      </w:tblGrid>
      <w:tr w:rsidR="00461822" w:rsidRPr="000534EB" w:rsidTr="000A358F">
        <w:trPr>
          <w:trHeight w:val="12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22" w:rsidRPr="000534EB" w:rsidRDefault="00461822" w:rsidP="001A29C9">
            <w:pPr>
              <w:pStyle w:val="a3"/>
              <w:snapToGrid w:val="0"/>
              <w:rPr>
                <w:bCs/>
                <w:spacing w:val="-20"/>
                <w:sz w:val="26"/>
                <w:szCs w:val="26"/>
              </w:rPr>
            </w:pPr>
            <w:proofErr w:type="spellStart"/>
            <w:r w:rsidRPr="000534EB">
              <w:rPr>
                <w:bCs/>
                <w:spacing w:val="-20"/>
                <w:sz w:val="26"/>
                <w:szCs w:val="26"/>
              </w:rPr>
              <w:t>Наименование</w:t>
            </w:r>
            <w:proofErr w:type="spellEnd"/>
            <w:r w:rsidRPr="000534EB">
              <w:rPr>
                <w:bCs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0534EB">
              <w:rPr>
                <w:bCs/>
                <w:spacing w:val="-20"/>
                <w:sz w:val="26"/>
                <w:szCs w:val="26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822" w:rsidRPr="000534EB" w:rsidRDefault="00461822" w:rsidP="001A29C9">
            <w:pPr>
              <w:pStyle w:val="a3"/>
              <w:snapToGrid w:val="0"/>
              <w:rPr>
                <w:bCs/>
                <w:spacing w:val="-20"/>
                <w:sz w:val="26"/>
                <w:szCs w:val="26"/>
                <w:lang w:val="ru-RU"/>
              </w:rPr>
            </w:pPr>
            <w:r w:rsidRPr="000534EB">
              <w:rPr>
                <w:rFonts w:eastAsia="Calibri"/>
                <w:spacing w:val="-20"/>
                <w:sz w:val="26"/>
                <w:szCs w:val="26"/>
                <w:lang w:val="ru-RU"/>
              </w:rPr>
              <w:t>Наименование и код товара, по КТРУ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822" w:rsidRPr="000534EB" w:rsidRDefault="00461822" w:rsidP="000534EB">
            <w:pPr>
              <w:suppressAutoHyphens w:val="0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  <w:lang w:eastAsia="ru-RU"/>
              </w:rPr>
              <w:t>Характеристики товара, работы, услуги по КТРУ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822" w:rsidRPr="000534EB" w:rsidRDefault="00461822" w:rsidP="001A29C9">
            <w:pPr>
              <w:pStyle w:val="a3"/>
              <w:snapToGrid w:val="0"/>
              <w:rPr>
                <w:bCs/>
                <w:spacing w:val="-20"/>
                <w:sz w:val="26"/>
                <w:szCs w:val="26"/>
                <w:lang w:val="ru-RU"/>
              </w:rPr>
            </w:pPr>
            <w:r w:rsidRPr="000534EB">
              <w:rPr>
                <w:bCs/>
                <w:spacing w:val="-20"/>
                <w:sz w:val="26"/>
                <w:szCs w:val="26"/>
                <w:lang w:val="ru-RU"/>
              </w:rPr>
              <w:t>Описание функциональных и технических характеристик товара</w:t>
            </w:r>
            <w:r w:rsidR="000534EB" w:rsidRPr="000534EB">
              <w:rPr>
                <w:bCs/>
                <w:spacing w:val="-20"/>
                <w:sz w:val="26"/>
                <w:szCs w:val="26"/>
                <w:lang w:val="ru-RU"/>
              </w:rPr>
              <w:t xml:space="preserve"> в соответствии с потребностями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822" w:rsidRPr="000534EB" w:rsidRDefault="00461822" w:rsidP="001A29C9">
            <w:pPr>
              <w:snapToGrid w:val="0"/>
              <w:jc w:val="center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bCs/>
                <w:spacing w:val="-20"/>
                <w:sz w:val="26"/>
                <w:szCs w:val="26"/>
              </w:rPr>
              <w:t>Кол-во (</w:t>
            </w:r>
            <w:proofErr w:type="spellStart"/>
            <w:r w:rsidRPr="000534EB">
              <w:rPr>
                <w:bCs/>
                <w:spacing w:val="-20"/>
                <w:sz w:val="26"/>
                <w:szCs w:val="26"/>
              </w:rPr>
              <w:t>шт</w:t>
            </w:r>
            <w:proofErr w:type="spellEnd"/>
            <w:r w:rsidRPr="000534EB">
              <w:rPr>
                <w:bCs/>
                <w:spacing w:val="-20"/>
                <w:sz w:val="26"/>
                <w:szCs w:val="26"/>
              </w:rPr>
              <w:t>)</w:t>
            </w:r>
          </w:p>
        </w:tc>
      </w:tr>
      <w:tr w:rsidR="00461822" w:rsidRPr="000534EB" w:rsidTr="000A358F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1822" w:rsidRPr="000534EB" w:rsidRDefault="00461822" w:rsidP="001A29C9">
            <w:pPr>
              <w:snapToGrid w:val="0"/>
              <w:jc w:val="both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t xml:space="preserve">Автомобиль с адаптированными органами управления, для лиц с </w:t>
            </w:r>
            <w:r w:rsidRPr="000534EB">
              <w:rPr>
                <w:spacing w:val="-20"/>
                <w:sz w:val="26"/>
                <w:szCs w:val="26"/>
              </w:rPr>
              <w:lastRenderedPageBreak/>
              <w:t>нарушениями функций обеих ног, с механической коробкой передач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lastRenderedPageBreak/>
              <w:t xml:space="preserve">Автомобиль легковой </w:t>
            </w:r>
          </w:p>
          <w:p w:rsidR="00461822" w:rsidRPr="000534EB" w:rsidRDefault="00920B3B" w:rsidP="00A50C61">
            <w:pPr>
              <w:rPr>
                <w:spacing w:val="-20"/>
                <w:sz w:val="26"/>
                <w:szCs w:val="26"/>
              </w:rPr>
            </w:pPr>
            <w:hyperlink r:id="rId7" w:tgtFrame="_blank" w:history="1">
              <w:r w:rsidR="00461822" w:rsidRPr="000534EB">
                <w:rPr>
                  <w:rStyle w:val="af"/>
                  <w:spacing w:val="-20"/>
                </w:rPr>
                <w:t>29.10.20.000-</w:t>
              </w:r>
              <w:r w:rsidR="00461822" w:rsidRPr="000534EB">
                <w:rPr>
                  <w:rStyle w:val="af"/>
                  <w:spacing w:val="-20"/>
                </w:rPr>
                <w:lastRenderedPageBreak/>
                <w:t>00000013</w:t>
              </w:r>
            </w:hyperlink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lastRenderedPageBreak/>
              <w:t xml:space="preserve">Количество посадочных мест: </w:t>
            </w:r>
            <w:r w:rsidRPr="000534EB">
              <w:rPr>
                <w:spacing w:val="-20"/>
                <w:lang w:eastAsia="ru-RU"/>
              </w:rPr>
              <w:t>1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proofErr w:type="gramStart"/>
            <w:r w:rsidRPr="000534EB">
              <w:rPr>
                <w:spacing w:val="-20"/>
                <w:lang w:eastAsia="ru-RU"/>
              </w:rPr>
              <w:t>) ;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  9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8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7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6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5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 xml:space="preserve">) </w:t>
            </w:r>
            <w:r w:rsidRPr="000534EB">
              <w:rPr>
                <w:spacing w:val="-20"/>
                <w:lang w:eastAsia="ru-RU"/>
              </w:rPr>
              <w:lastRenderedPageBreak/>
              <w:t>;   4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3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2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 xml:space="preserve">) ;   </w:t>
            </w:r>
          </w:p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двигателя: </w:t>
            </w:r>
            <w:proofErr w:type="gramStart"/>
            <w:r w:rsidRPr="000534EB">
              <w:rPr>
                <w:spacing w:val="-20"/>
                <w:lang w:eastAsia="ru-RU"/>
              </w:rPr>
              <w:t>Бензин ;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  </w:t>
            </w:r>
          </w:p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коробки передач: </w:t>
            </w:r>
            <w:proofErr w:type="gramStart"/>
            <w:r w:rsidRPr="000534EB">
              <w:rPr>
                <w:spacing w:val="-20"/>
                <w:lang w:eastAsia="ru-RU"/>
              </w:rPr>
              <w:t>Механика ;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  </w:t>
            </w:r>
          </w:p>
          <w:p w:rsidR="00461822" w:rsidRPr="00A50C61" w:rsidRDefault="00461822" w:rsidP="00461822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привода: </w:t>
            </w:r>
            <w:proofErr w:type="spellStart"/>
            <w:r w:rsidR="000534EB">
              <w:rPr>
                <w:spacing w:val="-20"/>
                <w:lang w:eastAsia="ru-RU"/>
              </w:rPr>
              <w:t>Моноприводный</w:t>
            </w:r>
            <w:proofErr w:type="spellEnd"/>
          </w:p>
          <w:p w:rsidR="00461822" w:rsidRPr="000534EB" w:rsidRDefault="00461822">
            <w:pPr>
              <w:suppressAutoHyphens w:val="0"/>
              <w:rPr>
                <w:color w:val="000000"/>
                <w:spacing w:val="-20"/>
                <w:sz w:val="26"/>
                <w:szCs w:val="26"/>
              </w:rPr>
            </w:pP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lastRenderedPageBreak/>
              <w:t>Категория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М1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Тип кузова/количество дверей - цельнометаллический / не менее 4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Экологический класс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не менее 5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Колесная формула/ведущие колеса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4 х 2 / передние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Схема компоновки автомобиля -</w:t>
            </w:r>
            <w:proofErr w:type="spellStart"/>
            <w:r w:rsidRPr="000534EB">
              <w:rPr>
                <w:color w:val="000000"/>
                <w:spacing w:val="-20"/>
                <w:sz w:val="26"/>
                <w:szCs w:val="26"/>
              </w:rPr>
              <w:t>переднеприводная</w:t>
            </w:r>
            <w:proofErr w:type="spellEnd"/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Расположение двигателя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переднее поперечное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lastRenderedPageBreak/>
              <w:t>Тип двигателя - бензиновый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Коробка передач – с механическим управлением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Двигатель внутреннего сгорания (рабочий объем), см3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- не более 1600</w:t>
            </w:r>
          </w:p>
          <w:p w:rsidR="00461822" w:rsidRPr="000534EB" w:rsidRDefault="00461822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Оборудование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в соответствии с пунктом 15 Приложения № 3 к ТР ТС 018/2011</w:t>
            </w:r>
          </w:p>
          <w:p w:rsidR="00461822" w:rsidRPr="000534EB" w:rsidRDefault="00461822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Топливо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бензин с октановым числом не менее 95</w:t>
            </w:r>
          </w:p>
          <w:p w:rsidR="00461822" w:rsidRPr="000534EB" w:rsidRDefault="00461822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 xml:space="preserve">Комплектация автомобиля – устройство ручного управления: для лиц с нарушением функций обеих ног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822" w:rsidRPr="000534EB" w:rsidRDefault="00461822" w:rsidP="001A29C9">
            <w:pPr>
              <w:snapToGrid w:val="0"/>
              <w:jc w:val="center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bCs/>
                <w:spacing w:val="-20"/>
                <w:sz w:val="26"/>
                <w:szCs w:val="26"/>
              </w:rPr>
              <w:lastRenderedPageBreak/>
              <w:t>3</w:t>
            </w:r>
          </w:p>
        </w:tc>
      </w:tr>
      <w:tr w:rsidR="000534EB" w:rsidRPr="000534EB" w:rsidTr="000A358F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34EB" w:rsidRPr="000534EB" w:rsidRDefault="000534EB" w:rsidP="001A29C9">
            <w:pPr>
              <w:snapToGrid w:val="0"/>
              <w:jc w:val="both"/>
              <w:rPr>
                <w:bCs/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lastRenderedPageBreak/>
              <w:t>Автомобиль с адаптированными органами управления, для лиц с нарушениями функций обеих ног, с автоматической коробкой передач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4EB" w:rsidRPr="000534EB" w:rsidRDefault="000534EB" w:rsidP="000534EB">
            <w:pPr>
              <w:pStyle w:val="a5"/>
              <w:spacing w:after="0"/>
              <w:ind w:left="0"/>
              <w:rPr>
                <w:spacing w:val="-20"/>
              </w:rPr>
            </w:pPr>
            <w:r>
              <w:rPr>
                <w:spacing w:val="-20"/>
              </w:rPr>
              <w:t xml:space="preserve">Автомобиль легковой </w:t>
            </w:r>
            <w:hyperlink r:id="rId8" w:tgtFrame="_blank" w:history="1">
              <w:r w:rsidRPr="000534EB">
                <w:rPr>
                  <w:rStyle w:val="af"/>
                  <w:spacing w:val="-20"/>
                </w:rPr>
                <w:t>29.10.20.000-00000011</w:t>
              </w:r>
            </w:hyperlink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4EB" w:rsidRPr="00A50C61" w:rsidRDefault="000534EB" w:rsidP="000534EB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Количество посадочных мест: </w:t>
            </w:r>
            <w:r w:rsidRPr="000534EB">
              <w:rPr>
                <w:spacing w:val="-20"/>
                <w:lang w:eastAsia="ru-RU"/>
              </w:rPr>
              <w:t>1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proofErr w:type="gramStart"/>
            <w:r w:rsidRPr="000534EB">
              <w:rPr>
                <w:spacing w:val="-20"/>
                <w:lang w:eastAsia="ru-RU"/>
              </w:rPr>
              <w:t>) ;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  9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8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7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6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5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4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3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>) ;   2 (</w:t>
            </w:r>
            <w:proofErr w:type="spellStart"/>
            <w:r w:rsidRPr="000534EB">
              <w:rPr>
                <w:spacing w:val="-20"/>
                <w:lang w:eastAsia="ru-RU"/>
              </w:rPr>
              <w:t>шт</w:t>
            </w:r>
            <w:proofErr w:type="spellEnd"/>
            <w:r w:rsidRPr="000534EB">
              <w:rPr>
                <w:spacing w:val="-20"/>
                <w:lang w:eastAsia="ru-RU"/>
              </w:rPr>
              <w:t xml:space="preserve">) ;   </w:t>
            </w:r>
          </w:p>
          <w:p w:rsidR="000534EB" w:rsidRPr="00A50C61" w:rsidRDefault="000534EB" w:rsidP="000534EB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двигателя: </w:t>
            </w:r>
            <w:proofErr w:type="gramStart"/>
            <w:r w:rsidRPr="000534EB">
              <w:rPr>
                <w:spacing w:val="-20"/>
                <w:lang w:eastAsia="ru-RU"/>
              </w:rPr>
              <w:t>Бензин ;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  </w:t>
            </w:r>
          </w:p>
          <w:p w:rsidR="000534EB" w:rsidRPr="00A50C61" w:rsidRDefault="000534EB" w:rsidP="000534EB">
            <w:pPr>
              <w:suppressAutoHyphens w:val="0"/>
              <w:rPr>
                <w:spacing w:val="-20"/>
                <w:lang w:eastAsia="ru-RU"/>
              </w:rPr>
            </w:pPr>
            <w:r w:rsidRPr="00A50C61">
              <w:rPr>
                <w:spacing w:val="-20"/>
                <w:lang w:eastAsia="ru-RU"/>
              </w:rPr>
              <w:t xml:space="preserve">Тип коробки передач: </w:t>
            </w:r>
            <w:proofErr w:type="gramStart"/>
            <w:r w:rsidRPr="000534EB">
              <w:rPr>
                <w:spacing w:val="-20"/>
                <w:lang w:eastAsia="ru-RU"/>
              </w:rPr>
              <w:t>Автомат ;</w:t>
            </w:r>
            <w:proofErr w:type="gramEnd"/>
            <w:r w:rsidRPr="000534EB">
              <w:rPr>
                <w:spacing w:val="-20"/>
                <w:lang w:eastAsia="ru-RU"/>
              </w:rPr>
              <w:t xml:space="preserve">   </w:t>
            </w:r>
          </w:p>
          <w:p w:rsidR="000534EB" w:rsidRPr="000534EB" w:rsidRDefault="000534EB" w:rsidP="000534EB">
            <w:pPr>
              <w:suppressAutoHyphens w:val="0"/>
              <w:rPr>
                <w:color w:val="000000"/>
                <w:spacing w:val="-20"/>
                <w:sz w:val="26"/>
                <w:szCs w:val="26"/>
              </w:rPr>
            </w:pPr>
            <w:r w:rsidRPr="00A50C61">
              <w:rPr>
                <w:spacing w:val="-20"/>
                <w:lang w:eastAsia="ru-RU"/>
              </w:rPr>
              <w:t xml:space="preserve">Тип привода: </w:t>
            </w:r>
            <w:proofErr w:type="spellStart"/>
            <w:r>
              <w:rPr>
                <w:spacing w:val="-20"/>
                <w:lang w:eastAsia="ru-RU"/>
              </w:rPr>
              <w:t>Моноприводный</w:t>
            </w:r>
            <w:proofErr w:type="spellEnd"/>
            <w:r>
              <w:rPr>
                <w:spacing w:val="-20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Категория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М1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Тип кузова/количество дверей - цельнометаллический / не менее 4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Экологический класс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не менее 5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Колесная формула/ведущие колеса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4 х 2 / передние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Схема компоновки автомобиля -</w:t>
            </w:r>
            <w:proofErr w:type="spellStart"/>
            <w:r w:rsidRPr="000534EB">
              <w:rPr>
                <w:color w:val="000000"/>
                <w:spacing w:val="-20"/>
                <w:sz w:val="26"/>
                <w:szCs w:val="26"/>
              </w:rPr>
              <w:t>переднеприводная</w:t>
            </w:r>
            <w:proofErr w:type="spellEnd"/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Расположение двигателя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переднее поперечное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Тип двигателя - бензиновый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Коробка передач – с автоматическим управлением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Двигатель внутреннего сгорания (рабочий объем), см3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- не более 1600</w:t>
            </w:r>
          </w:p>
          <w:p w:rsidR="000534EB" w:rsidRPr="000534EB" w:rsidRDefault="000534EB" w:rsidP="001A29C9">
            <w:pPr>
              <w:widowControl w:val="0"/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Оборудование автомобиля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в соответствии с пунктом 15 Приложения № 3 к ТР ТС 018/2011</w:t>
            </w:r>
          </w:p>
          <w:p w:rsidR="000534EB" w:rsidRPr="000534EB" w:rsidRDefault="000534EB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>Топливо -</w:t>
            </w:r>
            <w:r w:rsidRPr="000534EB">
              <w:rPr>
                <w:color w:val="000000"/>
                <w:spacing w:val="-20"/>
                <w:sz w:val="26"/>
                <w:szCs w:val="26"/>
              </w:rPr>
              <w:tab/>
              <w:t>бензин с октановым числом не менее 95</w:t>
            </w:r>
          </w:p>
          <w:p w:rsidR="000534EB" w:rsidRPr="000534EB" w:rsidRDefault="000534EB" w:rsidP="001A29C9">
            <w:pPr>
              <w:snapToGrid w:val="0"/>
              <w:jc w:val="both"/>
              <w:rPr>
                <w:color w:val="000000"/>
                <w:spacing w:val="-20"/>
                <w:sz w:val="26"/>
                <w:szCs w:val="26"/>
              </w:rPr>
            </w:pPr>
            <w:r w:rsidRPr="000534EB">
              <w:rPr>
                <w:color w:val="000000"/>
                <w:spacing w:val="-20"/>
                <w:sz w:val="26"/>
                <w:szCs w:val="26"/>
              </w:rPr>
              <w:t xml:space="preserve">Комплектация автомобиля – устройство ручного управления: для лиц с нарушением функций обеих ног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EB" w:rsidRPr="000534EB" w:rsidRDefault="000534EB" w:rsidP="001A29C9">
            <w:pPr>
              <w:keepNext/>
              <w:rPr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t>3</w:t>
            </w:r>
          </w:p>
        </w:tc>
      </w:tr>
      <w:tr w:rsidR="000A358F" w:rsidRPr="000534EB" w:rsidTr="00DE6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072" w:type="dxa"/>
            <w:gridSpan w:val="4"/>
          </w:tcPr>
          <w:p w:rsidR="000A358F" w:rsidRPr="000534EB" w:rsidRDefault="000A358F" w:rsidP="001A29C9">
            <w:pPr>
              <w:widowControl w:val="0"/>
              <w:ind w:firstLine="709"/>
              <w:jc w:val="center"/>
              <w:rPr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t>Итого</w:t>
            </w:r>
          </w:p>
        </w:tc>
        <w:tc>
          <w:tcPr>
            <w:tcW w:w="567" w:type="dxa"/>
          </w:tcPr>
          <w:p w:rsidR="000A358F" w:rsidRPr="000534EB" w:rsidRDefault="000A358F" w:rsidP="001A29C9">
            <w:pPr>
              <w:widowControl w:val="0"/>
              <w:jc w:val="center"/>
              <w:rPr>
                <w:spacing w:val="-20"/>
                <w:sz w:val="26"/>
                <w:szCs w:val="26"/>
              </w:rPr>
            </w:pPr>
            <w:r w:rsidRPr="000534EB">
              <w:rPr>
                <w:spacing w:val="-20"/>
                <w:sz w:val="26"/>
                <w:szCs w:val="26"/>
              </w:rPr>
              <w:t>6</w:t>
            </w:r>
          </w:p>
        </w:tc>
      </w:tr>
    </w:tbl>
    <w:p w:rsidR="006F4A9F" w:rsidRPr="000534EB" w:rsidRDefault="006F4A9F" w:rsidP="001A29C9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rPr>
          <w:bCs/>
          <w:spacing w:val="-20"/>
          <w:sz w:val="26"/>
          <w:szCs w:val="26"/>
        </w:rPr>
      </w:pPr>
      <w:r w:rsidRPr="000534EB">
        <w:rPr>
          <w:bCs/>
          <w:spacing w:val="-20"/>
          <w:sz w:val="26"/>
          <w:szCs w:val="26"/>
        </w:rPr>
        <w:tab/>
      </w:r>
    </w:p>
    <w:p w:rsidR="00400239" w:rsidRPr="000534EB" w:rsidRDefault="00400239" w:rsidP="001A29C9">
      <w:pPr>
        <w:pStyle w:val="11"/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/>
        <w:jc w:val="center"/>
        <w:rPr>
          <w:spacing w:val="-20"/>
          <w:sz w:val="26"/>
          <w:szCs w:val="26"/>
        </w:rPr>
      </w:pPr>
    </w:p>
    <w:sectPr w:rsidR="00400239" w:rsidRPr="000534EB" w:rsidSect="000A358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15" w:rsidRDefault="00C26815" w:rsidP="00C26815">
      <w:r>
        <w:separator/>
      </w:r>
    </w:p>
  </w:endnote>
  <w:endnote w:type="continuationSeparator" w:id="0">
    <w:p w:rsidR="00C26815" w:rsidRDefault="00C26815" w:rsidP="00C2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82817"/>
      <w:docPartObj>
        <w:docPartGallery w:val="Page Numbers (Bottom of Page)"/>
        <w:docPartUnique/>
      </w:docPartObj>
    </w:sdtPr>
    <w:sdtEndPr/>
    <w:sdtContent>
      <w:p w:rsidR="00C26815" w:rsidRDefault="00C268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3B">
          <w:rPr>
            <w:noProof/>
          </w:rPr>
          <w:t>6</w:t>
        </w:r>
        <w:r>
          <w:fldChar w:fldCharType="end"/>
        </w:r>
      </w:p>
    </w:sdtContent>
  </w:sdt>
  <w:p w:rsidR="00C26815" w:rsidRDefault="00C268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15" w:rsidRDefault="00C26815" w:rsidP="00C26815">
      <w:r>
        <w:separator/>
      </w:r>
    </w:p>
  </w:footnote>
  <w:footnote w:type="continuationSeparator" w:id="0">
    <w:p w:rsidR="00C26815" w:rsidRDefault="00C26815" w:rsidP="00C2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02B0E"/>
    <w:multiLevelType w:val="hybridMultilevel"/>
    <w:tmpl w:val="839EEE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7A"/>
    <w:rsid w:val="00010024"/>
    <w:rsid w:val="000534EB"/>
    <w:rsid w:val="000908FC"/>
    <w:rsid w:val="000A358F"/>
    <w:rsid w:val="000D77CD"/>
    <w:rsid w:val="001A29C9"/>
    <w:rsid w:val="003431A1"/>
    <w:rsid w:val="003F3A5A"/>
    <w:rsid w:val="00400239"/>
    <w:rsid w:val="00446CF7"/>
    <w:rsid w:val="00461822"/>
    <w:rsid w:val="006243D8"/>
    <w:rsid w:val="006F4A9F"/>
    <w:rsid w:val="00770131"/>
    <w:rsid w:val="008751CD"/>
    <w:rsid w:val="008F7DCD"/>
    <w:rsid w:val="00920B3B"/>
    <w:rsid w:val="00942FF7"/>
    <w:rsid w:val="009701A6"/>
    <w:rsid w:val="00A45289"/>
    <w:rsid w:val="00A50C61"/>
    <w:rsid w:val="00A764D4"/>
    <w:rsid w:val="00AA627F"/>
    <w:rsid w:val="00B35A05"/>
    <w:rsid w:val="00B379E2"/>
    <w:rsid w:val="00B55847"/>
    <w:rsid w:val="00C26815"/>
    <w:rsid w:val="00C5226C"/>
    <w:rsid w:val="00E42955"/>
    <w:rsid w:val="00F05F7A"/>
    <w:rsid w:val="00F5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019E-1C89-427C-B54C-C255605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29C9"/>
    <w:pPr>
      <w:keepNext/>
      <w:suppressAutoHyphens w:val="0"/>
      <w:ind w:firstLine="840"/>
      <w:jc w:val="center"/>
      <w:outlineLvl w:val="0"/>
    </w:pPr>
    <w:rPr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2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5F7A"/>
    <w:pPr>
      <w:widowControl w:val="0"/>
      <w:suppressLineNumbers/>
    </w:pPr>
    <w:rPr>
      <w:color w:val="000000"/>
      <w:lang w:val="en-US"/>
    </w:rPr>
  </w:style>
  <w:style w:type="paragraph" w:styleId="a4">
    <w:name w:val="No Spacing"/>
    <w:uiPriority w:val="1"/>
    <w:qFormat/>
    <w:rsid w:val="00F05F7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ody Text Indent"/>
    <w:basedOn w:val="a"/>
    <w:link w:val="a6"/>
    <w:uiPriority w:val="99"/>
    <w:unhideWhenUsed/>
    <w:rsid w:val="00F05F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05F7A"/>
    <w:rPr>
      <w:sz w:val="24"/>
      <w:szCs w:val="24"/>
      <w:lang w:eastAsia="ar-SA"/>
    </w:rPr>
  </w:style>
  <w:style w:type="paragraph" w:customStyle="1" w:styleId="-">
    <w:name w:val="Контракт-пункт"/>
    <w:basedOn w:val="a"/>
    <w:rsid w:val="00F05F7A"/>
    <w:pPr>
      <w:tabs>
        <w:tab w:val="num" w:pos="720"/>
      </w:tabs>
      <w:ind w:left="720" w:hanging="360"/>
      <w:jc w:val="both"/>
    </w:pPr>
    <w:rPr>
      <w:rFonts w:ascii="Bookman Old Style" w:hAnsi="Bookman Old Style"/>
      <w:sz w:val="20"/>
      <w:szCs w:val="20"/>
    </w:rPr>
  </w:style>
  <w:style w:type="character" w:customStyle="1" w:styleId="ListParagraphChar">
    <w:name w:val="List Paragraph Char"/>
    <w:link w:val="11"/>
    <w:locked/>
    <w:rsid w:val="006F4A9F"/>
    <w:rPr>
      <w:sz w:val="24"/>
      <w:szCs w:val="24"/>
    </w:rPr>
  </w:style>
  <w:style w:type="paragraph" w:customStyle="1" w:styleId="11">
    <w:name w:val="Абзац списка1"/>
    <w:basedOn w:val="a"/>
    <w:link w:val="ListParagraphChar"/>
    <w:rsid w:val="006F4A9F"/>
    <w:pPr>
      <w:suppressAutoHyphens w:val="0"/>
      <w:ind w:left="720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A29C9"/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1A29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7">
    <w:name w:val="Body Text"/>
    <w:basedOn w:val="a"/>
    <w:link w:val="a8"/>
    <w:rsid w:val="001A29C9"/>
    <w:pPr>
      <w:spacing w:after="120"/>
    </w:pPr>
  </w:style>
  <w:style w:type="character" w:customStyle="1" w:styleId="a8">
    <w:name w:val="Основной текст Знак"/>
    <w:basedOn w:val="a0"/>
    <w:link w:val="a7"/>
    <w:rsid w:val="001A29C9"/>
    <w:rPr>
      <w:sz w:val="24"/>
      <w:szCs w:val="24"/>
      <w:lang w:eastAsia="ar-SA"/>
    </w:rPr>
  </w:style>
  <w:style w:type="paragraph" w:styleId="a9">
    <w:name w:val="header"/>
    <w:basedOn w:val="a"/>
    <w:link w:val="aa"/>
    <w:rsid w:val="00C26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26815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C268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815"/>
    <w:rPr>
      <w:sz w:val="24"/>
      <w:szCs w:val="24"/>
      <w:lang w:eastAsia="ar-SA"/>
    </w:rPr>
  </w:style>
  <w:style w:type="paragraph" w:styleId="ad">
    <w:name w:val="Balloon Text"/>
    <w:basedOn w:val="a"/>
    <w:link w:val="ae"/>
    <w:rsid w:val="00C268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C26815"/>
    <w:rPr>
      <w:rFonts w:ascii="Segoe UI" w:hAnsi="Segoe UI" w:cs="Segoe UI"/>
      <w:sz w:val="18"/>
      <w:szCs w:val="18"/>
      <w:lang w:eastAsia="ar-SA"/>
    </w:rPr>
  </w:style>
  <w:style w:type="character" w:styleId="af">
    <w:name w:val="Hyperlink"/>
    <w:basedOn w:val="a0"/>
    <w:uiPriority w:val="99"/>
    <w:unhideWhenUsed/>
    <w:rsid w:val="00A50C61"/>
    <w:rPr>
      <w:color w:val="0000FF"/>
      <w:u w:val="single"/>
    </w:rPr>
  </w:style>
  <w:style w:type="character" w:customStyle="1" w:styleId="lots-wrap-contentbodyval">
    <w:name w:val="lots-wrap-content__body__val"/>
    <w:basedOn w:val="a0"/>
    <w:rsid w:val="00A50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4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4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34753&amp;backUrl=a0d9632d-da63-4e6a-b7bf-9482bf9e6f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34749&amp;backUrl=a0d9632d-da63-4e6a-b7bf-9482bf9e6f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2096</Words>
  <Characters>15600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Ионова Фатимат Карабитовна</dc:creator>
  <cp:keywords/>
  <dc:description/>
  <cp:lastModifiedBy>Ионова Фатимат Карабитовна</cp:lastModifiedBy>
  <cp:revision>5</cp:revision>
  <cp:lastPrinted>2019-09-23T07:42:00Z</cp:lastPrinted>
  <dcterms:created xsi:type="dcterms:W3CDTF">2020-04-13T12:55:00Z</dcterms:created>
  <dcterms:modified xsi:type="dcterms:W3CDTF">2020-04-15T13:59:00Z</dcterms:modified>
</cp:coreProperties>
</file>