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A9697C" w:rsidRDefault="00A9697C" w:rsidP="00A9697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697C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A9697C" w:rsidRDefault="001B76A5" w:rsidP="00A96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B76A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B7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расходных материалов для офисной техники для нужд Государственного учреждения - Московского регионального отделения Фонда социального страхования Российской Федерации и его филиалов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pPr w:leftFromText="181" w:rightFromText="181" w:vertAnchor="page" w:horzAnchor="page" w:tblpX="749" w:tblpY="296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1452"/>
        <w:gridCol w:w="5953"/>
        <w:gridCol w:w="851"/>
      </w:tblGrid>
      <w:tr w:rsidR="00A9697C" w:rsidRPr="00B733C4" w:rsidTr="00917C0A">
        <w:trPr>
          <w:trHeight w:val="238"/>
        </w:trPr>
        <w:tc>
          <w:tcPr>
            <w:tcW w:w="10740" w:type="dxa"/>
            <w:gridSpan w:val="5"/>
          </w:tcPr>
          <w:p w:rsidR="00A9697C" w:rsidRPr="00B733C4" w:rsidRDefault="00D02F97" w:rsidP="00BD17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0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9697C" w:rsidRPr="00D0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A9697C" w:rsidRPr="00B7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количеству, техническим, функциональным и качественным характеристикам </w:t>
            </w:r>
            <w:r w:rsidR="00BD17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A9697C" w:rsidRPr="00B7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овара</w:t>
            </w:r>
          </w:p>
        </w:tc>
      </w:tr>
      <w:tr w:rsidR="00A9697C" w:rsidRPr="00B733C4" w:rsidTr="00F960DC">
        <w:trPr>
          <w:trHeight w:val="238"/>
        </w:trPr>
        <w:tc>
          <w:tcPr>
            <w:tcW w:w="10740" w:type="dxa"/>
            <w:gridSpan w:val="5"/>
          </w:tcPr>
          <w:p w:rsidR="00A9697C" w:rsidRPr="00B733C4" w:rsidRDefault="00C371B9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доставки</w:t>
            </w:r>
            <w:r w:rsidR="00A9697C" w:rsidRPr="00B73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9697C" w:rsidRPr="00B73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Москва, 5-й </w:t>
            </w:r>
            <w:proofErr w:type="spellStart"/>
            <w:r w:rsidR="00A9697C" w:rsidRPr="00B73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Монетчиковский</w:t>
            </w:r>
            <w:proofErr w:type="spellEnd"/>
            <w:r w:rsidR="00A9697C" w:rsidRPr="00B73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переулок, д. 11, стр. 7</w:t>
            </w:r>
          </w:p>
        </w:tc>
      </w:tr>
      <w:tr w:rsidR="00A9697C" w:rsidRPr="00B733C4" w:rsidTr="00A9697C">
        <w:trPr>
          <w:trHeight w:val="238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товара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товара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Кол-во, шт.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3635MFP/S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108R00796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3635MFP/S Цвет печати: Черный Технология печати: монохромная с экспонированием лазерным лучом Ресурс не должен быть менее 10000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каким-либо образом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</w:t>
            </w:r>
          </w:p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3119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013R00625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3119 Цвет печати: Черный Технология печати: монохромная с экспонированием лазерным лучом Ресурс не должен быть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 3000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3045NI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106R02183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3045NI Цвет печати: Черный Технология печати: монохромная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 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 Запорная лента (если предусмотрена для данного вида картриджа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106R01631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6015N  Цвет печати: Голубой Технология печати: Цветная с экспонированием лазерным лучом Ресурс не должен быть менее 1000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3320DNI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106R02306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3320DNI Цвет печати: Черный Технология печати: монохромная с экспонированием лазерным лучом Ресурс не должен быть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 11000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A9697C" w:rsidRPr="00B733C4" w:rsidTr="00A9697C">
        <w:trPr>
          <w:trHeight w:val="21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3435DN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106R01415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3435DN Цвет печати: Черный Технология печати: Цветная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 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106R01413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5222SD Цвет печати: Черный Технология печати: монохромная с экспонированием лазерным лучом Ресурс не должен быть менее 20000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Драм-картридж, модель 101R00434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 должен быть совместимым с 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5222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  Цвет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печати: Черный Технология печати: монохромная с экспонированием лазерным лучом Ресурс не должен быть менее 50000 стр. А4 при 5% заполнении Картридж должен быть новым, не бывшим в употреблении.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5225А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 106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R01305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5225A Цвет печати: Черный Технология печати: монохромная с экспонированием лазерным лучом Ресурс не должен быть менее 30000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697C" w:rsidRPr="00B733C4" w:rsidTr="00A9697C">
        <w:trPr>
          <w:trHeight w:val="544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5225A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Драм-картридж, модель 101R00435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 должен быть совместимым с 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5225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 Цвет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печати: Черный Технология печати: монохромная с экспонированием лазерным лучом Ресурс не должен быть менее 80000 стр. А4 при 5% заполнении Картридж должен быть новым, не бывшим в употреблении.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006R01160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30000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Драм-картридж, модель 013R00591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90000  стр. А4 при 5% заполнении Картридж должен быть новым, не бывшим в употреблении.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5500DT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 модель</w:t>
            </w:r>
            <w:proofErr w:type="gramEnd"/>
          </w:p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113R00668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для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5500DT Цвет печати: Черный Технология печати: монохромная с экспонированием лазерным лучом Ресурс не должен быть менее 30000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восстановленным, не переработанным или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каким-либо образом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5500DT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R00670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Драм-Картридж должен быть совместимым с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5500DT Цвет печати: Черный Технология печати: монохромная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 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не бывшим в употреблении.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106R01484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 Цвет печати: Черный Технология печати: Цветная с экспонированием лазерным лучом Ресурс не должен быть менее 2600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106R01481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 Цвет печати: Голубой Технология печати: Цветная с экспонированием лазерным лучом Ресурс не должен быть менее 2000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697C" w:rsidRPr="00B733C4" w:rsidTr="00A9697C">
        <w:trPr>
          <w:trHeight w:val="541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106R01482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 Цвет печати: Пурпурный Технология печати: Цветная с экспонированием лазерным лучом Ресурс не должен быть менее 2000 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106R01483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6140N Цвет печати: Желтый Технология печати: Цветная с экспонированием лазерным лучом Ресурс не должен быть менее 2000  стр. А4 при 5% заполнении Картридж должен быть новым, собранным из новых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106R01085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6300N Цвет печати: Черный Технология печати: Цветная с экспонированием лазерным лучом Ресурс не должен быть менее 7000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каким-либо образом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106R01601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6500N Цвет печати: Голубой Технология печати: Цветная с экспонированием лазерным лучом Ресурс не должен быть менее 2500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106R01602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6500N Цвет печати: Пурпурный Технология печати: Цветная с экспонированием лазерным лучом Ресурс не должен быть менее 2500 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106R01603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6500N Цвет печати: Желтый Технология печати: Цветная с экспонированием лазерным лучом Ресурс не должен быть менее 2500 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 Запорная лента (если предусмотрена для данного вида картриджа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A9697C" w:rsidRPr="00B733C4" w:rsidTr="00A9697C">
        <w:trPr>
          <w:trHeight w:val="323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1120n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CB436A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1120n Цвет печати: Черный Технология печати: монохромная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 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HP  LaserJet Pro M1132 MFP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CE285A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 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M1132 MFP Цвет печати: Черный Технология печати: монохромная с экспонированием лазерным лучом Ресурс не должен быть менее 1600 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R00667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PE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Цвет печати: Черный Технология печати: монохромная с экспонированием лазерным лучом Ресурс не должен быть менее 3500 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1200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C7115X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  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1200 Цвет печати: Черный Технология печати: монохромная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 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4200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</w:t>
            </w:r>
          </w:p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Q1338A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  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4200 Цвет печати: Черный Технология печати: монохромная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 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540A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HP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 Цвет печати: Черный Технология печати: Цветная с экспонированием лазерным лучом Ресурс не должен быть менее 2200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541A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HP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 Цвет печати: Голубой Технология печати: Цветная с экспонированием лазерным лучом Ресурс не должен быть менее 1400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97C" w:rsidRPr="00B733C4" w:rsidTr="00A9697C">
        <w:trPr>
          <w:trHeight w:val="46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HP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 Цвет печати: Пурпурный Технология печати: Цветная с экспонированием лазерным лучом Ресурс не должен быть менее 1400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HP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CP1215 Цвет печати: Желтый Технология печати: Цветная с экспонированием лазерным лучом Ресурс не должен быть менее 1400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9697C" w:rsidRPr="00B733C4" w:rsidTr="00A9697C">
        <w:trPr>
          <w:trHeight w:val="413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2055dn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CE505X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HP </w:t>
            </w:r>
            <w:proofErr w:type="spellStart"/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2055dn Цвет печати: Черный Технология печати: монохромная с экспонированием лазерным лучом Ресурс не должен быть менее  6500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-4500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ML-D1630A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SCX-4500. Цвет печати: Черный Технология печати: монохромная с экспонированием лазерным лучом Ресурс не должен быть менее 2000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каким-либо образом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SCX-D6555A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SCX-6545n Цвет печати: Черный Технология печати: монохромная с экспонированием лазерным лучом Ресурс не должен быть менее 25000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Драм-картридж, модель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SCX-R6555A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Драм-Картридж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SCX-6545n Цвет печати: Черный Технология печати: монохромная с экспонированием лазерным лучом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Ресурс не должен быть менее 80000 стр. А4 при 5% заполнении Картридж должен быть новым, не бывшим в употреблении.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</w:p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MLT-D709S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25000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9697C" w:rsidRPr="00B733C4" w:rsidTr="00A9697C">
        <w:trPr>
          <w:trHeight w:val="541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Драм-картридж, модель MLT-R709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100000 стр. А4 при 5% заполнении Картридж должен быть новым, не бывшим в употреблении.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SCX-8128NA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Контейнер, модель MLT-W709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Контейнер для сбора отработанного тонера для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SCX-8128NA     Ресурс не должен быть менее 100000 стр. А4 при 5%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заполнении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должен быть новым, не бывшим в употреблении.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ProXpress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M4070FR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 MLT-D203U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ProXpress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M4070FR Цвет печати: Черный Технология печати: монохромная с экспонированием лазерным лучом Ресурс не должен быть менее 15000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A9697C" w:rsidRPr="00B733C4" w:rsidTr="00A9697C">
        <w:trPr>
          <w:trHeight w:val="80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106R02236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с 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6605  Цвет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печати: Черный Технология печати: Цветная с экспонированием лазерным лучом Ресурс не должен быть менее 8000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09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106R02233</w:t>
            </w:r>
          </w:p>
        </w:tc>
        <w:tc>
          <w:tcPr>
            <w:tcW w:w="5953" w:type="dxa"/>
            <w:shd w:val="clear" w:color="auto" w:fill="auto"/>
            <w:hideMark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с 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6605  Цвет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печати: Голубой Технология печати: Цветная с экспонированием лазерным лучом Ресурс не должен быть менее 6000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106R02234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с 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6605  Цвет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печати: Пурпурный Технология печати: Цветная с экспонированием лазерным лучом Ресурс не должен быть менее 6000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106R02235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с 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6605  Цвет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печати: Желтый Технология печати: Цветная с экспонированием лазерным лучом Ресурс не должен быть менее 6000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R01121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 должен быть совместимым с 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 Цвет печати: Черный Технология печати: монохромная с экспонированием лазерным лучом Ресурс не должен быть менее 60000 стр. А4 при 5% заполнении Картридж должен быть новым, не бывшим в употреблении.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Фотовалы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шт.)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должены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ровное глянцевое покрытие без царапин.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Контейнер,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R01124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Контейнер для сбора отработанного тонера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6605   Ресурс не должен быть менее 30000 стр. А4 при 5% заполнении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  должен быть новым, не бывшим в употреблении.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Lexmark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MX710de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Тонер-картридж, модель 62D5H00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Тонер-Картридж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Lexmark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25000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</w:tr>
      <w:tr w:rsidR="00A9697C" w:rsidRPr="00B733C4" w:rsidTr="00A9697C">
        <w:trPr>
          <w:trHeight w:val="85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Lexmark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MX710de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Драм-картридж, модель 52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0Z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Драм-Картридж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Lexmark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100000 стр. А4 при 5% заполнении Картридж должен быть новым, не бывшим в употреблении.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9697C" w:rsidRPr="00B733C4" w:rsidTr="00A9697C">
        <w:trPr>
          <w:trHeight w:val="61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Canon </w:t>
            </w:r>
          </w:p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i-SENSYS MT4018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 FX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  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i-SENSYS MT4018 Цвет печати: Черный Технология печати: монохромная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 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697C" w:rsidRPr="00B733C4" w:rsidTr="00A9697C">
        <w:trPr>
          <w:trHeight w:val="277"/>
        </w:trPr>
        <w:tc>
          <w:tcPr>
            <w:tcW w:w="675" w:type="dxa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9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PE114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52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Картридж,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R00607</w:t>
            </w:r>
          </w:p>
        </w:tc>
        <w:tc>
          <w:tcPr>
            <w:tcW w:w="5953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c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PE114е Цвет печати: Черный Технология печати: монохромная с экспонированием лазерным лучом Ресурс не должен быть менее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A9697C" w:rsidRPr="00B733C4" w:rsidRDefault="00A9697C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64598" w:rsidRPr="00B733C4" w:rsidTr="00E01A10">
        <w:trPr>
          <w:trHeight w:val="465"/>
        </w:trPr>
        <w:tc>
          <w:tcPr>
            <w:tcW w:w="9889" w:type="dxa"/>
            <w:gridSpan w:val="4"/>
          </w:tcPr>
          <w:p w:rsidR="00564598" w:rsidRPr="0072423B" w:rsidRDefault="00564598" w:rsidP="00B7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общее количество</w:t>
            </w:r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 </w:t>
            </w:r>
            <w:proofErr w:type="gramStart"/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доставки </w:t>
            </w:r>
            <w:r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23B" w:rsidRPr="0072423B">
              <w:t xml:space="preserve"> </w:t>
            </w:r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Москва, 5-й </w:t>
            </w:r>
            <w:proofErr w:type="spellStart"/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Монетчиковский</w:t>
            </w:r>
            <w:proofErr w:type="spellEnd"/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переулок, д. 11, стр. 7</w:t>
            </w:r>
          </w:p>
        </w:tc>
        <w:tc>
          <w:tcPr>
            <w:tcW w:w="851" w:type="dxa"/>
            <w:shd w:val="clear" w:color="auto" w:fill="auto"/>
            <w:hideMark/>
          </w:tcPr>
          <w:p w:rsidR="00564598" w:rsidRPr="00B733C4" w:rsidRDefault="00564598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3232</w:t>
            </w:r>
          </w:p>
        </w:tc>
      </w:tr>
      <w:tr w:rsidR="00564598" w:rsidRPr="00B733C4" w:rsidTr="00956BAE">
        <w:trPr>
          <w:trHeight w:val="465"/>
        </w:trPr>
        <w:tc>
          <w:tcPr>
            <w:tcW w:w="10740" w:type="dxa"/>
            <w:gridSpan w:val="5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доставки: </w:t>
            </w: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Байконур,  ул. Гагарина, д. 13</w:t>
            </w:r>
          </w:p>
        </w:tc>
      </w:tr>
      <w:tr w:rsidR="00581AD7" w:rsidRPr="00B733C4" w:rsidTr="00A9697C">
        <w:trPr>
          <w:trHeight w:val="465"/>
        </w:trPr>
        <w:tc>
          <w:tcPr>
            <w:tcW w:w="675" w:type="dxa"/>
          </w:tcPr>
          <w:p w:rsidR="00581AD7" w:rsidRPr="00B733C4" w:rsidRDefault="00581AD7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9" w:type="dxa"/>
            <w:shd w:val="clear" w:color="auto" w:fill="auto"/>
          </w:tcPr>
          <w:p w:rsidR="00581AD7" w:rsidRPr="00B733C4" w:rsidRDefault="00581AD7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52" w:type="dxa"/>
            <w:shd w:val="clear" w:color="auto" w:fill="auto"/>
          </w:tcPr>
          <w:p w:rsidR="00581AD7" w:rsidRPr="00B733C4" w:rsidRDefault="00581AD7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5953" w:type="dxa"/>
            <w:shd w:val="clear" w:color="auto" w:fill="auto"/>
          </w:tcPr>
          <w:p w:rsidR="00581AD7" w:rsidRPr="00B733C4" w:rsidRDefault="00581AD7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851" w:type="dxa"/>
            <w:shd w:val="clear" w:color="auto" w:fill="auto"/>
          </w:tcPr>
          <w:p w:rsidR="00581AD7" w:rsidRPr="00B733C4" w:rsidRDefault="00581AD7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564598" w:rsidRPr="00B733C4" w:rsidTr="00A9697C">
        <w:trPr>
          <w:trHeight w:val="465"/>
        </w:trPr>
        <w:tc>
          <w:tcPr>
            <w:tcW w:w="675" w:type="dxa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733C4">
              <w:rPr>
                <w:rFonts w:ascii="Times New Roman" w:hAnsi="Times New Roman" w:cs="Times New Roman"/>
                <w:sz w:val="24"/>
                <w:szCs w:val="24"/>
              </w:rPr>
              <w:t xml:space="preserve"> i-SENSYS MF 3010</w:t>
            </w:r>
          </w:p>
        </w:tc>
        <w:tc>
          <w:tcPr>
            <w:tcW w:w="1452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Картридж, модель</w:t>
            </w:r>
          </w:p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953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i-SENSYS MF 3010 Цвет печати: Черный Технология печати: монохромная с экспонированием лазерным лучом Ресурс составляет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  стр.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 при 5% заполнении Картридж должен быть новым, собранным 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564598" w:rsidRPr="00B733C4" w:rsidTr="00A9697C">
        <w:trPr>
          <w:trHeight w:val="465"/>
        </w:trPr>
        <w:tc>
          <w:tcPr>
            <w:tcW w:w="675" w:type="dxa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9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i-SENSYS MF 4410</w:t>
            </w:r>
          </w:p>
        </w:tc>
        <w:tc>
          <w:tcPr>
            <w:tcW w:w="1452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Картридж, модель</w:t>
            </w:r>
          </w:p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3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с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i-SENSYS MF 4410 Цвет печати: Черный Технология печати: монохромная с экспонированием лазерным лучом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  составляет</w:t>
            </w:r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2100 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Фотовал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598" w:rsidRPr="00B733C4" w:rsidTr="00A9697C">
        <w:trPr>
          <w:trHeight w:val="465"/>
        </w:trPr>
        <w:tc>
          <w:tcPr>
            <w:tcW w:w="675" w:type="dxa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ProXpress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M4070FR</w:t>
            </w:r>
          </w:p>
        </w:tc>
        <w:tc>
          <w:tcPr>
            <w:tcW w:w="1452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Картридж, модель </w:t>
            </w:r>
          </w:p>
          <w:p w:rsidR="00564598" w:rsidRPr="00B733C4" w:rsidRDefault="00564598" w:rsidP="00B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MLT-D203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5953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Картридж должен быть совместимым </w:t>
            </w:r>
            <w:proofErr w:type="gram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proofErr w:type="gram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ProXpress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M4070FR Цвет печати: Черный Технология печати: монохромная с экспонированием лазерным лучом Ресурс не должен быть менее 15000 стр. А4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перезаправленным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светонепропускающего</w:t>
            </w:r>
            <w:proofErr w:type="spellEnd"/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</w:tcPr>
          <w:p w:rsidR="00564598" w:rsidRPr="00B733C4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4598" w:rsidRPr="00B733C4" w:rsidTr="007D4C9E">
        <w:trPr>
          <w:trHeight w:val="376"/>
        </w:trPr>
        <w:tc>
          <w:tcPr>
            <w:tcW w:w="9889" w:type="dxa"/>
            <w:gridSpan w:val="4"/>
          </w:tcPr>
          <w:p w:rsidR="00564598" w:rsidRPr="00B733C4" w:rsidRDefault="00564598" w:rsidP="0072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общее количество</w:t>
            </w:r>
            <w:r w:rsid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 </w:t>
            </w:r>
            <w:proofErr w:type="gramStart"/>
            <w:r w:rsid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доставки</w:t>
            </w:r>
            <w:r w:rsidRPr="00B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  <w:proofErr w:type="gramEnd"/>
            <w:r w:rsidR="0072423B" w:rsidRPr="0072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Байконур,  ул. Гагарина, д. 13</w:t>
            </w:r>
          </w:p>
        </w:tc>
        <w:tc>
          <w:tcPr>
            <w:tcW w:w="851" w:type="dxa"/>
            <w:shd w:val="clear" w:color="auto" w:fill="auto"/>
          </w:tcPr>
          <w:p w:rsidR="00564598" w:rsidRPr="004134A7" w:rsidRDefault="00564598" w:rsidP="00B73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134A7" w:rsidRPr="00B733C4" w:rsidTr="007D4C9E">
        <w:trPr>
          <w:trHeight w:val="269"/>
        </w:trPr>
        <w:tc>
          <w:tcPr>
            <w:tcW w:w="9889" w:type="dxa"/>
            <w:gridSpan w:val="4"/>
          </w:tcPr>
          <w:p w:rsidR="004134A7" w:rsidRPr="004134A7" w:rsidRDefault="004134A7" w:rsidP="001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 w:rsidR="00143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расходных материалов:</w:t>
            </w:r>
          </w:p>
        </w:tc>
        <w:tc>
          <w:tcPr>
            <w:tcW w:w="851" w:type="dxa"/>
            <w:shd w:val="clear" w:color="auto" w:fill="auto"/>
          </w:tcPr>
          <w:p w:rsidR="004134A7" w:rsidRPr="004134A7" w:rsidRDefault="00143EF6" w:rsidP="00B73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3252</w:t>
            </w:r>
          </w:p>
        </w:tc>
      </w:tr>
      <w:tr w:rsidR="007D4C9E" w:rsidRPr="00B733C4" w:rsidTr="007D4C9E">
        <w:trPr>
          <w:trHeight w:val="272"/>
        </w:trPr>
        <w:tc>
          <w:tcPr>
            <w:tcW w:w="10740" w:type="dxa"/>
            <w:gridSpan w:val="5"/>
          </w:tcPr>
          <w:p w:rsidR="007D4C9E" w:rsidRPr="007D4C9E" w:rsidRDefault="007D4C9E" w:rsidP="007D4C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поставки товара</w:t>
            </w:r>
          </w:p>
        </w:tc>
      </w:tr>
      <w:tr w:rsidR="007D4C9E" w:rsidRPr="00B733C4" w:rsidTr="007D4C9E">
        <w:trPr>
          <w:trHeight w:val="272"/>
        </w:trPr>
        <w:tc>
          <w:tcPr>
            <w:tcW w:w="10740" w:type="dxa"/>
            <w:gridSpan w:val="5"/>
          </w:tcPr>
          <w:p w:rsidR="007D4C9E" w:rsidRPr="00F30CEB" w:rsidRDefault="007D4C9E" w:rsidP="007D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Поставка осуществляется: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одной партией по </w:t>
            </w:r>
            <w:r>
              <w:rPr>
                <w:rFonts w:ascii="Times New Roman" w:hAnsi="Times New Roman"/>
                <w:sz w:val="24"/>
                <w:szCs w:val="24"/>
              </w:rPr>
              <w:t>адресам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п. 2 Описания объекта закупки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в рабочее время с 9-00 до 16-00 часов по московскому времени.</w:t>
            </w:r>
          </w:p>
          <w:p w:rsidR="007D4C9E" w:rsidRPr="00F30CEB" w:rsidRDefault="007D4C9E" w:rsidP="007D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AC">
              <w:rPr>
                <w:rFonts w:ascii="Times New Roman" w:hAnsi="Times New Roman"/>
                <w:sz w:val="24"/>
                <w:szCs w:val="24"/>
              </w:rPr>
              <w:t>Транспортировка Товара к месту доставки, погрузочно-разгрузочные работы в помещениях Заказчика, в том числе подъем Товара на этаж, осуществляются силами Поставщика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C9E" w:rsidRDefault="007D4C9E" w:rsidP="007D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AC">
              <w:rPr>
                <w:rFonts w:ascii="Times New Roman" w:hAnsi="Times New Roman"/>
                <w:sz w:val="24"/>
                <w:szCs w:val="24"/>
              </w:rPr>
              <w:t>Товар в упаковке, имеющей внешние дефекты, которая не обеспечивает сохранности товаров при транспортировке и хранении, а также Товар, имеющий внешние дефекты, выявленные при распаковке, возвращается Поставщику. Такой Товар не засчитывается в счет исполнения обязательств по Контракту</w:t>
            </w:r>
            <w:r w:rsidRPr="00212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C9E" w:rsidRPr="00B15C24" w:rsidRDefault="007D4C9E" w:rsidP="007D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По факту поставки Товар</w:t>
            </w:r>
            <w:r>
              <w:rPr>
                <w:rFonts w:ascii="Times New Roman" w:hAnsi="Times New Roman"/>
                <w:sz w:val="24"/>
                <w:szCs w:val="24"/>
              </w:rPr>
              <w:t>а по адресам Заказчика (филиала</w:t>
            </w:r>
            <w:r w:rsidRPr="00B15C24">
              <w:rPr>
                <w:rFonts w:ascii="Times New Roman" w:hAnsi="Times New Roman"/>
                <w:sz w:val="24"/>
                <w:szCs w:val="24"/>
              </w:rPr>
              <w:t xml:space="preserve"> Заказчика), предусмотренного настоящим Контрактом, Поставщик с сопроводительным письмом предоставляет Заказчику (филиалу Заказчика) по каждому адресу поставки следующие документы:</w:t>
            </w:r>
          </w:p>
          <w:p w:rsidR="007D4C9E" w:rsidRPr="00B15C24" w:rsidRDefault="007D4C9E" w:rsidP="007D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- Товарную накладную, составленную согласно унифицированной форме первичной учетной документации ТОРГ-12;</w:t>
            </w:r>
          </w:p>
          <w:p w:rsidR="007D4C9E" w:rsidRPr="007D4C9E" w:rsidRDefault="007D4C9E" w:rsidP="007D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 о приемке Товара.</w:t>
            </w:r>
          </w:p>
        </w:tc>
      </w:tr>
      <w:tr w:rsidR="007D4C9E" w:rsidRPr="00B733C4" w:rsidTr="007D4C9E">
        <w:trPr>
          <w:trHeight w:val="272"/>
        </w:trPr>
        <w:tc>
          <w:tcPr>
            <w:tcW w:w="10740" w:type="dxa"/>
            <w:gridSpan w:val="5"/>
          </w:tcPr>
          <w:p w:rsidR="007D4C9E" w:rsidRPr="007E323E" w:rsidRDefault="007E323E" w:rsidP="007E32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23E">
              <w:rPr>
                <w:rFonts w:ascii="Times New Roman" w:hAnsi="Times New Roman"/>
                <w:b/>
                <w:sz w:val="24"/>
                <w:szCs w:val="24"/>
              </w:rPr>
              <w:t>Порядок приемки Товара</w:t>
            </w:r>
          </w:p>
        </w:tc>
      </w:tr>
      <w:tr w:rsidR="007E323E" w:rsidRPr="00B733C4" w:rsidTr="007D4C9E">
        <w:trPr>
          <w:trHeight w:val="272"/>
        </w:trPr>
        <w:tc>
          <w:tcPr>
            <w:tcW w:w="10740" w:type="dxa"/>
            <w:gridSpan w:val="5"/>
          </w:tcPr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приемке Товара Заказчиком (филиалом Заказчика) осуществляется визуальный осмотр поставленного Товара. Факт поставки Товара оформляется и подтверждается подписанием Товарной </w:t>
            </w:r>
            <w:r>
              <w:rPr>
                <w:rFonts w:ascii="Times New Roman" w:hAnsi="Times New Roman"/>
                <w:sz w:val="24"/>
                <w:szCs w:val="24"/>
              </w:rPr>
              <w:t>накладной.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Товарной накладной,</w:t>
            </w:r>
            <w:r w:rsidRPr="00B15C24">
              <w:rPr>
                <w:rFonts w:ascii="Times New Roman" w:hAnsi="Times New Roman"/>
                <w:sz w:val="24"/>
                <w:szCs w:val="24"/>
              </w:rPr>
              <w:t xml:space="preserve"> счет-фактуре обязательно должны быть указаны наименование Заказчика, Поставщика, номер и дата государственного контракта, даты оформления и подписания документов.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Заказчик (филиал Заказчика) осуществляет приемку поставленного Товара, результатов исполнения Контракта в течение 3 (трех) рабочих дней с даты получения от Поставщика подписанного им Акта о приемке Товара. Заказчик (филиал Заказчика) в течение 3 (трех) рабочих дней с момента получения Акта о приемке Товара подписывает его и в течение 3 (трех) рабочих дней с даты подписания и направляет его Поставщику, или в тот же срок направляет Поставщику мотивированный отказ от подписания Акта о приемке Товара с перечнем претензий и указанием сроков их устранения.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По факту поставки всего объема Товара по всем адресам Заказчика предусмотренного Контрактом, Поставщик с сопроводительным письмом предоставляет Заказчику по адресу: РФ, 127006, г. Москва, Страстной бульвар, д. 7, стр. 1, следующие документы: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- общую товарную накладную, составленную согласно унифицированной форме первичной учетной документации ТОРГ-12 (общего универсальн</w:t>
            </w:r>
            <w:r>
              <w:rPr>
                <w:rFonts w:ascii="Times New Roman" w:hAnsi="Times New Roman"/>
                <w:sz w:val="24"/>
                <w:szCs w:val="24"/>
              </w:rPr>
              <w:t>ого передаточного документа</w:t>
            </w:r>
            <w:r w:rsidRPr="00B15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- итоговый Акт о приемке Товара;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счет, счет-фактуру</w:t>
            </w:r>
            <w:r w:rsidRPr="00B15C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Товар считается принятым с момента подписания Сторонами итогового Акта о приемке Товара.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Поставщик в срок не позднее 3 (трех) рабочих дней с момента произведения Заказчиком оплаты поставленного Товара предоставляет Заказчику с сопроводительным письмом Итоговый акт.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Заказчик в течение 10 (десяти) рабочих дней с момента получения Итогового акта подписывает его и направляет Итоговый акт Поставщику или в тот же срок направляет Поставщику мотивированный отказ от подписания Итогового акта с перечнем претензий и указанием сроков их устранения.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В случае обнаружения некачественного Товара или его недостачи представителем Заказчика составляется соответствующий акт.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Замена Товара на новый производится Поставщиком в течение не более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C24">
              <w:rPr>
                <w:rFonts w:ascii="Times New Roman" w:hAnsi="Times New Roman"/>
                <w:sz w:val="24"/>
                <w:szCs w:val="24"/>
              </w:rPr>
              <w:t>(пяти) календарных дней после получения от Заказчика сообщения о выявленных недостатках, за счет своих средств и своими силами, включая расходы, связанные с транспортными расходами, погрузочно-разгрузочными работами, выездом специалиста по месту нахождения Товара.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проводится Заказчиком своими силами или к ее проведению могут привлекаться эксперты, экспертные организации на основе Контрактов, заключенных в соответствии с Федеральным законом № 44-ФЗ.</w:t>
            </w:r>
          </w:p>
          <w:p w:rsidR="00B24E98" w:rsidRPr="00B15C24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В случае привлечения Заказчиком экспертов, экспертных организаций для проведения экспертизы поставленного Поставщиком Товара, при принятии решения о приемке или об отказе в приемке результатов исполнения Контракта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      </w:r>
          </w:p>
          <w:p w:rsidR="007E323E" w:rsidRPr="00F30CEB" w:rsidRDefault="00B24E98" w:rsidP="00B24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24">
              <w:rPr>
                <w:rFonts w:ascii="Times New Roman" w:hAnsi="Times New Roman"/>
                <w:sz w:val="24"/>
                <w:szCs w:val="24"/>
              </w:rPr>
              <w:t>Заказчик вправе не отказывать в приемке поставленного Товара в случае выявления несоответствия этого Товара условиям Контракта, если выявленное несоответствие не препятствует приемке этого Товара и устранено Поставщиком в срок, установленный заказчиком</w:t>
            </w:r>
            <w:r w:rsidRPr="00B21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5617" w:rsidRPr="00B733C4" w:rsidTr="007D4C9E">
        <w:trPr>
          <w:trHeight w:val="272"/>
        </w:trPr>
        <w:tc>
          <w:tcPr>
            <w:tcW w:w="10740" w:type="dxa"/>
            <w:gridSpan w:val="5"/>
          </w:tcPr>
          <w:p w:rsidR="007E5617" w:rsidRPr="00110461" w:rsidRDefault="00110461" w:rsidP="001104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Условия оплаты</w:t>
            </w:r>
          </w:p>
        </w:tc>
      </w:tr>
      <w:tr w:rsidR="007E5617" w:rsidRPr="00B733C4" w:rsidTr="007D4C9E">
        <w:trPr>
          <w:trHeight w:val="272"/>
        </w:trPr>
        <w:tc>
          <w:tcPr>
            <w:tcW w:w="10740" w:type="dxa"/>
            <w:gridSpan w:val="5"/>
          </w:tcPr>
          <w:p w:rsidR="00110461" w:rsidRPr="00110461" w:rsidRDefault="00110461" w:rsidP="0011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61">
              <w:rPr>
                <w:rFonts w:ascii="Times New Roman" w:hAnsi="Times New Roman"/>
                <w:sz w:val="24"/>
                <w:szCs w:val="24"/>
              </w:rPr>
              <w:t>Оплата Товара, поставленного Поставщиком, производится по безналичному расчету с лицевого счета Заказчика на расчетный счет Поставщика в течение 10 (десяти) рабочих дней с даты подписания Сторонами итогового Акта о приемке Товара, Общей Товарной накладной на основании полученных от Поставщика счета, счета-фактуры с учетом возможности предоставления общего универсального передаточного документа.</w:t>
            </w:r>
          </w:p>
          <w:p w:rsidR="007E5617" w:rsidRDefault="00110461" w:rsidP="0011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61">
              <w:rPr>
                <w:rFonts w:ascii="Times New Roman" w:hAnsi="Times New Roman"/>
                <w:sz w:val="24"/>
                <w:szCs w:val="24"/>
              </w:rPr>
              <w:t>Документы для произведения оплаты предоставляются Заказчику по адресу: РФ, 127006, г. Москва, Страстной бульвар, д. 7, стр. 1</w:t>
            </w:r>
          </w:p>
          <w:p w:rsidR="00110461" w:rsidRPr="00255DBA" w:rsidRDefault="00110461" w:rsidP="00110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Авансирование не предусмотрено.</w:t>
            </w:r>
          </w:p>
        </w:tc>
      </w:tr>
      <w:tr w:rsidR="005D4892" w:rsidRPr="00B733C4" w:rsidTr="007D4C9E">
        <w:trPr>
          <w:trHeight w:val="272"/>
        </w:trPr>
        <w:tc>
          <w:tcPr>
            <w:tcW w:w="10740" w:type="dxa"/>
            <w:gridSpan w:val="5"/>
          </w:tcPr>
          <w:p w:rsidR="005D4892" w:rsidRPr="00F07C99" w:rsidRDefault="00F07C99" w:rsidP="00F07C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C99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объему, сроку гарантий качества и безопасности товара</w:t>
            </w:r>
          </w:p>
        </w:tc>
      </w:tr>
      <w:tr w:rsidR="005D4892" w:rsidRPr="00B733C4" w:rsidTr="007D4C9E">
        <w:trPr>
          <w:trHeight w:val="272"/>
        </w:trPr>
        <w:tc>
          <w:tcPr>
            <w:tcW w:w="10740" w:type="dxa"/>
            <w:gridSpan w:val="5"/>
          </w:tcPr>
          <w:p w:rsidR="00F07C99" w:rsidRPr="00F07C99" w:rsidRDefault="00F07C99" w:rsidP="00F0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99">
              <w:rPr>
                <w:rFonts w:ascii="Times New Roman" w:hAnsi="Times New Roman"/>
                <w:sz w:val="24"/>
                <w:szCs w:val="24"/>
              </w:rPr>
              <w:lastRenderedPageBreak/>
              <w:t>Поставляемый Товар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F07C99" w:rsidRPr="00F07C99" w:rsidRDefault="00F07C99" w:rsidP="00F0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99">
              <w:rPr>
                <w:rFonts w:ascii="Times New Roman" w:hAnsi="Times New Roman"/>
                <w:sz w:val="24"/>
                <w:szCs w:val="24"/>
              </w:rPr>
              <w:t>Товар поставляется в упаковке, соответствующей действующим стандартам и техническим условиям для данного вида Товара.</w:t>
            </w:r>
          </w:p>
          <w:p w:rsidR="00F07C99" w:rsidRPr="00F07C99" w:rsidRDefault="00F07C99" w:rsidP="00F0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99">
              <w:rPr>
                <w:rFonts w:ascii="Times New Roman" w:hAnsi="Times New Roman"/>
                <w:sz w:val="24"/>
                <w:szCs w:val="24"/>
              </w:rPr>
              <w:t>Упаковка должна иметь на себе информацию о виде и количестве Товара, находящегося в ней, а также должна обеспечивать сохранность Товара при транспортировке и хранении.</w:t>
            </w:r>
          </w:p>
          <w:p w:rsidR="005D4892" w:rsidRPr="00110461" w:rsidRDefault="00F07C99" w:rsidP="00F0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99">
              <w:rPr>
                <w:rFonts w:ascii="Times New Roman" w:hAnsi="Times New Roman"/>
                <w:sz w:val="24"/>
                <w:szCs w:val="24"/>
              </w:rPr>
              <w:t>Гарантийный срок на Товар составляет 1 календарный год, с даты подписания Сторонами Акта приема-передачи Товара.</w:t>
            </w:r>
          </w:p>
        </w:tc>
      </w:tr>
      <w:tr w:rsidR="00474F31" w:rsidRPr="00B733C4" w:rsidTr="007D4C9E">
        <w:trPr>
          <w:trHeight w:val="272"/>
        </w:trPr>
        <w:tc>
          <w:tcPr>
            <w:tcW w:w="10740" w:type="dxa"/>
            <w:gridSpan w:val="5"/>
          </w:tcPr>
          <w:p w:rsidR="00474F31" w:rsidRPr="00474F31" w:rsidRDefault="00474F31" w:rsidP="00474F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F31">
              <w:rPr>
                <w:rFonts w:ascii="Times New Roman" w:hAnsi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474F31" w:rsidRPr="00B733C4" w:rsidTr="007D4C9E">
        <w:trPr>
          <w:trHeight w:val="272"/>
        </w:trPr>
        <w:tc>
          <w:tcPr>
            <w:tcW w:w="10740" w:type="dxa"/>
            <w:gridSpan w:val="5"/>
          </w:tcPr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При исполнении государственного контракта предусматривается применение электронного взаимодействия.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Оформление первичных учетных документов и иных сопутствующих документов осуществляется в форме электронных документов, подписанных усиленной квалифицированной электронной подписью (далее соответственно - УКЭП, электронные документы), включая, но, не ограничиваясь следующими: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- документы на поставку Товара, предоставление которых предусмотрено в целях осуществления приемки Товара;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- документы о результатах такой приемки;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- документы на оплату Товара;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- дополнительные соглашения к государственному контракту;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- требования об оплате неустоек (штрафов, пеней).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Обмен электронными документами должен осуществляться с обязательным применением УКЭП, с проверкой сертификата ключа 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При осуществлении обмена электронными документами должны использоваться форматы документов, которые утверждены приказами Федеральной налоговой службы. Если форматы документов не утверждены, то используются иные форматы, согласованные Заказчиком и подрядчиком.</w:t>
            </w:r>
          </w:p>
          <w:p w:rsidR="00474F31" w:rsidRPr="00474F31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Электронные документы не требуют дублирования документами, оформленными на бумажных носителях информации.</w:t>
            </w:r>
          </w:p>
          <w:p w:rsidR="00474F31" w:rsidRPr="00F07C99" w:rsidRDefault="00474F31" w:rsidP="00474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31">
              <w:rPr>
                <w:rFonts w:ascii="Times New Roman" w:hAnsi="Times New Roman"/>
                <w:sz w:val="24"/>
                <w:szCs w:val="24"/>
              </w:rPr>
              <w:t>Обмен электронными документами должен осуществляться в реестре документов об исполнении контракта ЕИС. В случае невозможности обмена электронными документами при исполнении государственного контракта в связи с технической недоступностью указанного реестра стороны обязаны информировать друг друга о невозможности обмена документами в электронном виде. В этом случае в период технической недоступности реестра документов об исполнении контракта в ЕИС стороны производят обмен документами на бумажном носителе с подписанием собственноручной подписью и заверением печатью организации.</w:t>
            </w:r>
          </w:p>
        </w:tc>
      </w:tr>
    </w:tbl>
    <w:p w:rsidR="00A9697C" w:rsidRPr="00A9697C" w:rsidRDefault="00A9697C" w:rsidP="00C371B9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A9697C" w:rsidRPr="00A9697C" w:rsidSect="00A9697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">
    <w:nsid w:val="7FD316BA"/>
    <w:multiLevelType w:val="multilevel"/>
    <w:tmpl w:val="DA94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110461"/>
    <w:rsid w:val="00143EF6"/>
    <w:rsid w:val="001B76A5"/>
    <w:rsid w:val="00255DBA"/>
    <w:rsid w:val="002C12CD"/>
    <w:rsid w:val="004134A7"/>
    <w:rsid w:val="00474F31"/>
    <w:rsid w:val="00564598"/>
    <w:rsid w:val="00581AD7"/>
    <w:rsid w:val="005D4892"/>
    <w:rsid w:val="0072423B"/>
    <w:rsid w:val="00764923"/>
    <w:rsid w:val="007D4C9E"/>
    <w:rsid w:val="007E323E"/>
    <w:rsid w:val="007E5617"/>
    <w:rsid w:val="009433EE"/>
    <w:rsid w:val="00A9697C"/>
    <w:rsid w:val="00B24E98"/>
    <w:rsid w:val="00B733C4"/>
    <w:rsid w:val="00BD1745"/>
    <w:rsid w:val="00C371B9"/>
    <w:rsid w:val="00D02F97"/>
    <w:rsid w:val="00EA13E8"/>
    <w:rsid w:val="00F07C99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4EBB-77EA-4027-AE20-19F32AA8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969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Наталия Васильевна</dc:creator>
  <cp:keywords/>
  <dc:description/>
  <cp:lastModifiedBy>Томилова Наталия Васильевна</cp:lastModifiedBy>
  <cp:revision>21</cp:revision>
  <dcterms:created xsi:type="dcterms:W3CDTF">2020-06-26T05:48:00Z</dcterms:created>
  <dcterms:modified xsi:type="dcterms:W3CDTF">2020-06-26T11:24:00Z</dcterms:modified>
</cp:coreProperties>
</file>