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0E" w:rsidRDefault="00DC500E" w:rsidP="00DC500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Наименование и описание объекта закупки</w:t>
      </w:r>
    </w:p>
    <w:p w:rsidR="00DC500E" w:rsidRDefault="00DC500E" w:rsidP="00DC500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поставку технических средств реабилитации – подгузников для детей для обеспечения инвалидов в 2020 году </w:t>
      </w:r>
    </w:p>
    <w:p w:rsidR="00DC500E" w:rsidRDefault="00DC500E" w:rsidP="00DC500E">
      <w:pPr>
        <w:spacing w:line="240" w:lineRule="auto"/>
        <w:jc w:val="center"/>
        <w:rPr>
          <w:szCs w:val="28"/>
        </w:rPr>
      </w:pPr>
    </w:p>
    <w:p w:rsidR="00DC500E" w:rsidRDefault="00DC500E" w:rsidP="00DC500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Наименование товара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Классификация подгузников для детей представлена в Национальном стандарте Российской Федерации ГОСТ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ИСО </w:t>
      </w:r>
      <w:r>
        <w:rPr>
          <w:szCs w:val="28"/>
        </w:rPr>
        <w:t xml:space="preserve">9999-2019 </w:t>
      </w:r>
      <w:r>
        <w:rPr>
          <w:bCs/>
          <w:szCs w:val="28"/>
        </w:rPr>
        <w:t xml:space="preserve"> «Вспомогательные средства для людей с ограничениями жизнедеятельности. Классификация и терминология»,  код двухуровневой классификации 09 30.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Cs/>
          <w:szCs w:val="28"/>
        </w:rPr>
      </w:pP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center"/>
        <w:rPr>
          <w:szCs w:val="28"/>
        </w:rPr>
      </w:pPr>
      <w:r>
        <w:rPr>
          <w:b/>
          <w:szCs w:val="28"/>
        </w:rPr>
        <w:t>Требования к качественным и функциональным характеристикам товара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Подгузники для детей должны обеспечивать соблюдение санитарно-гигиенических условий для детей-инвалидов с нарушениями функций выделения.</w:t>
      </w:r>
    </w:p>
    <w:p w:rsidR="00A85974" w:rsidRDefault="00A85974" w:rsidP="00A85974">
      <w:pPr>
        <w:tabs>
          <w:tab w:val="num" w:pos="284"/>
        </w:tabs>
        <w:spacing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Подгузники должны быть изготовлены в </w:t>
      </w:r>
      <w:proofErr w:type="gramStart"/>
      <w:r>
        <w:rPr>
          <w:bCs/>
          <w:szCs w:val="28"/>
        </w:rPr>
        <w:t>соответствии</w:t>
      </w:r>
      <w:proofErr w:type="gramEnd"/>
      <w:r>
        <w:rPr>
          <w:bCs/>
          <w:szCs w:val="28"/>
        </w:rPr>
        <w:t xml:space="preserve"> с требованиями  раздела 5  ГОСТ 52557-2011 «Подгузники детские бумажные. Общие технические условия» по технической документации на конкретный подгузник и/или группу подгузников.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 и комфорт. </w:t>
      </w:r>
      <w:proofErr w:type="gramStart"/>
      <w:r>
        <w:rPr>
          <w:szCs w:val="28"/>
        </w:rPr>
        <w:t xml:space="preserve">Внутренняя поверхность подгузников должна быть из </w:t>
      </w:r>
      <w:proofErr w:type="spellStart"/>
      <w:r>
        <w:rPr>
          <w:szCs w:val="28"/>
        </w:rPr>
        <w:t>гипоаллергенного</w:t>
      </w:r>
      <w:proofErr w:type="spellEnd"/>
      <w:r>
        <w:rPr>
          <w:szCs w:val="28"/>
        </w:rPr>
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</w:t>
      </w:r>
      <w:proofErr w:type="gramEnd"/>
      <w:r>
        <w:rPr>
          <w:szCs w:val="28"/>
        </w:rPr>
        <w:t xml:space="preserve"> Впитывающий слой должен быть из распушенной целлюлозы с </w:t>
      </w:r>
      <w:proofErr w:type="spellStart"/>
      <w:r>
        <w:rPr>
          <w:szCs w:val="28"/>
        </w:rPr>
        <w:t>суперабсорбирующим</w:t>
      </w:r>
      <w:proofErr w:type="spellEnd"/>
      <w:r>
        <w:rPr>
          <w:szCs w:val="28"/>
        </w:rPr>
        <w:t xml:space="preserve"> полимером, превращающим жидкость в гель. 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 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Печатное изображение на подгузниках должно быть четким без искажений и пробелов. Не допускаются следы </w:t>
      </w:r>
      <w:proofErr w:type="spellStart"/>
      <w:r>
        <w:rPr>
          <w:szCs w:val="28"/>
        </w:rPr>
        <w:t>выщипывания</w:t>
      </w:r>
      <w:proofErr w:type="spellEnd"/>
      <w:r>
        <w:rPr>
          <w:szCs w:val="28"/>
        </w:rPr>
        <w:t xml:space="preserve"> волокон с поверхности подгузника и </w:t>
      </w:r>
      <w:proofErr w:type="spellStart"/>
      <w:r>
        <w:rPr>
          <w:szCs w:val="28"/>
        </w:rPr>
        <w:t>отмарывания</w:t>
      </w:r>
      <w:proofErr w:type="spellEnd"/>
      <w:r>
        <w:rPr>
          <w:szCs w:val="28"/>
        </w:rPr>
        <w:t xml:space="preserve"> краски. Эластичные элементы подгузника не должны содержать латекса.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/>
          <w:szCs w:val="28"/>
        </w:rPr>
      </w:pP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center"/>
        <w:rPr>
          <w:szCs w:val="28"/>
        </w:rPr>
      </w:pPr>
      <w:r>
        <w:rPr>
          <w:b/>
          <w:szCs w:val="28"/>
        </w:rPr>
        <w:t>Требования к упаковке, маркировке и транспортировке товара</w:t>
      </w:r>
    </w:p>
    <w:p w:rsidR="00DC500E" w:rsidRPr="00F453EE" w:rsidRDefault="00DC500E" w:rsidP="00F453E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Маркировка упаковки подгузников для детей включает следующую информацию в соответствии с Решением Комиссии Таможенного союза от 28.05.2010 № 299 и </w:t>
      </w:r>
      <w:r w:rsidR="00F453EE">
        <w:rPr>
          <w:rFonts w:eastAsiaTheme="minorHAnsi"/>
          <w:szCs w:val="28"/>
          <w:lang w:eastAsia="en-US"/>
        </w:rPr>
        <w:t xml:space="preserve">"ГОСТ </w:t>
      </w:r>
      <w:proofErr w:type="gramStart"/>
      <w:r w:rsidR="00F453EE">
        <w:rPr>
          <w:rFonts w:eastAsiaTheme="minorHAnsi"/>
          <w:szCs w:val="28"/>
          <w:lang w:eastAsia="en-US"/>
        </w:rPr>
        <w:t>Р</w:t>
      </w:r>
      <w:proofErr w:type="gramEnd"/>
      <w:r w:rsidR="00F453EE">
        <w:rPr>
          <w:rFonts w:eastAsiaTheme="minorHAnsi"/>
          <w:szCs w:val="28"/>
          <w:lang w:eastAsia="en-US"/>
        </w:rPr>
        <w:t xml:space="preserve"> 52557-2011. Национальный стандарт Российской Федерации. Подгузники детские бумажные. Общие технические условия"</w:t>
      </w:r>
      <w:r>
        <w:rPr>
          <w:szCs w:val="28"/>
        </w:rPr>
        <w:t xml:space="preserve">: 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 условное обозначение группы подгузника, диапазон веса ребенка, товарную марку (при наличии), обозначение номера изделия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обозначение </w:t>
      </w:r>
      <w:proofErr w:type="spellStart"/>
      <w:r>
        <w:rPr>
          <w:szCs w:val="28"/>
        </w:rPr>
        <w:t>впитываемости</w:t>
      </w:r>
      <w:proofErr w:type="spellEnd"/>
      <w:r>
        <w:rPr>
          <w:szCs w:val="28"/>
        </w:rPr>
        <w:t xml:space="preserve"> изделия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страну-изготовителя;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наименование предприятия-изготовителя, юридический адрес, товарный знак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отличительные характеристики подгузников 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их техническим исполнением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номер артикула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количество подгузников в упаковке;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дату (месяц, год) изготовления;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гарантийный срок годности;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указания по утилизации: «Не бросать в канализацию»;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правила использования (при необходимости);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штриховой код изделия (при наличии);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информацию о сертификации (при наличии).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Маркировка должна быть хорошо различимой, без искажений и пробелов.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Подгузники для детей в количестве, определяемом производителем, должны быть упакованы </w:t>
      </w:r>
      <w:r>
        <w:rPr>
          <w:szCs w:val="28"/>
        </w:rPr>
        <w:t>по несколько штук в пакеты из полимерной пленки или пачки, или коробки по ГОСТ 33781-2016 (упаковка потребительская из картона, бумаги и комбинированных материалов.</w:t>
      </w:r>
      <w:proofErr w:type="gramEnd"/>
      <w:r>
        <w:rPr>
          <w:szCs w:val="28"/>
        </w:rPr>
        <w:t xml:space="preserve"> Общие технические условия)</w:t>
      </w:r>
      <w:r>
        <w:rPr>
          <w:szCs w:val="28"/>
          <w:lang w:eastAsia="en-US"/>
        </w:rPr>
        <w:t>, или другую тару, обеспечивающую сохранность подгузников при транспортировке и хранении Швы в пакетах из полимерной пленки должны быть заварены</w:t>
      </w:r>
      <w:r w:rsidR="00F453EE">
        <w:rPr>
          <w:szCs w:val="28"/>
          <w:lang w:eastAsia="en-US"/>
        </w:rPr>
        <w:t xml:space="preserve"> </w:t>
      </w:r>
      <w:r w:rsidR="00F453EE">
        <w:rPr>
          <w:szCs w:val="28"/>
          <w:lang w:eastAsia="en-US"/>
        </w:rPr>
        <w:t xml:space="preserve">(п 5.13.1 </w:t>
      </w:r>
      <w:r w:rsidR="00F453EE">
        <w:rPr>
          <w:rFonts w:eastAsiaTheme="minorHAnsi"/>
          <w:szCs w:val="28"/>
          <w:lang w:eastAsia="en-US"/>
        </w:rPr>
        <w:t xml:space="preserve">ГОСТ </w:t>
      </w:r>
      <w:proofErr w:type="gramStart"/>
      <w:r w:rsidR="00F453EE">
        <w:rPr>
          <w:rFonts w:eastAsiaTheme="minorHAnsi"/>
          <w:szCs w:val="28"/>
          <w:lang w:eastAsia="en-US"/>
        </w:rPr>
        <w:t>Р</w:t>
      </w:r>
      <w:proofErr w:type="gramEnd"/>
      <w:r w:rsidR="00F453EE">
        <w:rPr>
          <w:rFonts w:eastAsiaTheme="minorHAnsi"/>
          <w:szCs w:val="28"/>
          <w:lang w:eastAsia="en-US"/>
        </w:rPr>
        <w:t xml:space="preserve"> 52557-2011).</w:t>
      </w:r>
      <w:r>
        <w:rPr>
          <w:szCs w:val="28"/>
          <w:lang w:eastAsia="en-US"/>
        </w:rPr>
        <w:t xml:space="preserve"> </w:t>
      </w:r>
    </w:p>
    <w:p w:rsidR="00F453E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en-US"/>
        </w:rPr>
      </w:pPr>
      <w:bookmarkStart w:id="0" w:name="Par1"/>
      <w:bookmarkEnd w:id="0"/>
      <w:r>
        <w:rPr>
          <w:szCs w:val="28"/>
          <w:lang w:eastAsia="en-US"/>
        </w:rPr>
        <w:t xml:space="preserve"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  <w:r w:rsidR="00F453EE">
        <w:rPr>
          <w:szCs w:val="28"/>
          <w:lang w:eastAsia="en-US"/>
        </w:rPr>
        <w:t>(п 5.13.</w:t>
      </w:r>
      <w:r w:rsidR="00F453EE">
        <w:rPr>
          <w:szCs w:val="28"/>
          <w:lang w:eastAsia="en-US"/>
        </w:rPr>
        <w:t>2</w:t>
      </w:r>
      <w:r w:rsidR="00F453EE">
        <w:rPr>
          <w:szCs w:val="28"/>
          <w:lang w:eastAsia="en-US"/>
        </w:rPr>
        <w:t xml:space="preserve"> </w:t>
      </w:r>
      <w:r w:rsidR="00F453EE">
        <w:rPr>
          <w:rFonts w:eastAsiaTheme="minorHAnsi"/>
          <w:szCs w:val="28"/>
          <w:lang w:eastAsia="en-US"/>
        </w:rPr>
        <w:t xml:space="preserve">ГОСТ </w:t>
      </w:r>
      <w:proofErr w:type="gramStart"/>
      <w:r w:rsidR="00F453EE">
        <w:rPr>
          <w:rFonts w:eastAsiaTheme="minorHAnsi"/>
          <w:szCs w:val="28"/>
          <w:lang w:eastAsia="en-US"/>
        </w:rPr>
        <w:t>Р</w:t>
      </w:r>
      <w:proofErr w:type="gramEnd"/>
      <w:r w:rsidR="00F453EE">
        <w:rPr>
          <w:rFonts w:eastAsiaTheme="minorHAnsi"/>
          <w:szCs w:val="28"/>
          <w:lang w:eastAsia="en-US"/>
        </w:rPr>
        <w:t xml:space="preserve"> 52557-2011).</w:t>
      </w:r>
    </w:p>
    <w:p w:rsidR="00DC500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Подгузники упаковывают в кипу, ящик по </w:t>
      </w:r>
      <w:hyperlink r:id="rId5" w:history="1">
        <w:r>
          <w:rPr>
            <w:rStyle w:val="a3"/>
            <w:szCs w:val="28"/>
            <w:lang w:eastAsia="en-US"/>
          </w:rPr>
          <w:t>ГОСТ 6658</w:t>
        </w:r>
      </w:hyperlink>
      <w:r>
        <w:rPr>
          <w:szCs w:val="28"/>
          <w:lang w:eastAsia="en-US"/>
        </w:rPr>
        <w:t>-75.</w:t>
      </w:r>
      <w:r w:rsidR="00F453EE">
        <w:rPr>
          <w:szCs w:val="28"/>
          <w:lang w:eastAsia="en-US"/>
        </w:rPr>
        <w:t xml:space="preserve"> </w:t>
      </w:r>
      <w:r w:rsidR="00F453EE">
        <w:rPr>
          <w:szCs w:val="28"/>
          <w:lang w:eastAsia="en-US"/>
        </w:rPr>
        <w:t>(п 5.13.</w:t>
      </w:r>
      <w:r w:rsidR="00F453EE">
        <w:rPr>
          <w:szCs w:val="28"/>
          <w:lang w:eastAsia="en-US"/>
        </w:rPr>
        <w:t>4</w:t>
      </w:r>
      <w:r w:rsidR="00F453EE">
        <w:rPr>
          <w:szCs w:val="28"/>
          <w:lang w:eastAsia="en-US"/>
        </w:rPr>
        <w:t xml:space="preserve"> </w:t>
      </w:r>
      <w:r w:rsidR="00F453EE">
        <w:rPr>
          <w:rFonts w:eastAsiaTheme="minorHAnsi"/>
          <w:szCs w:val="28"/>
          <w:lang w:eastAsia="en-US"/>
        </w:rPr>
        <w:t xml:space="preserve">ГОСТ </w:t>
      </w:r>
      <w:proofErr w:type="gramStart"/>
      <w:r w:rsidR="00F453EE">
        <w:rPr>
          <w:rFonts w:eastAsiaTheme="minorHAnsi"/>
          <w:szCs w:val="28"/>
          <w:lang w:eastAsia="en-US"/>
        </w:rPr>
        <w:t>Р</w:t>
      </w:r>
      <w:proofErr w:type="gramEnd"/>
      <w:r w:rsidR="00F453EE">
        <w:rPr>
          <w:rFonts w:eastAsiaTheme="minorHAnsi"/>
          <w:szCs w:val="28"/>
          <w:lang w:eastAsia="en-US"/>
        </w:rPr>
        <w:t xml:space="preserve"> 52557-2011).</w:t>
      </w:r>
    </w:p>
    <w:p w:rsidR="00F453E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Не допускается механическое повреждение упаковки, открывающее </w:t>
      </w:r>
      <w:r w:rsidR="00F453EE">
        <w:rPr>
          <w:szCs w:val="28"/>
          <w:lang w:eastAsia="en-US"/>
        </w:rPr>
        <w:t>доступ к поверхности подгузника</w:t>
      </w:r>
      <w:r w:rsidR="00F453EE" w:rsidRPr="00F453EE">
        <w:rPr>
          <w:szCs w:val="28"/>
          <w:lang w:eastAsia="en-US"/>
        </w:rPr>
        <w:t xml:space="preserve"> </w:t>
      </w:r>
      <w:r w:rsidR="00F453EE">
        <w:rPr>
          <w:szCs w:val="28"/>
          <w:lang w:eastAsia="en-US"/>
        </w:rPr>
        <w:t>(п 5.13.3</w:t>
      </w:r>
      <w:r w:rsidR="00F453EE">
        <w:rPr>
          <w:szCs w:val="28"/>
          <w:lang w:eastAsia="en-US"/>
        </w:rPr>
        <w:t xml:space="preserve"> </w:t>
      </w:r>
      <w:r w:rsidR="00F453EE">
        <w:rPr>
          <w:rFonts w:eastAsiaTheme="minorHAnsi"/>
          <w:szCs w:val="28"/>
          <w:lang w:eastAsia="en-US"/>
        </w:rPr>
        <w:t xml:space="preserve">ГОСТ </w:t>
      </w:r>
      <w:proofErr w:type="gramStart"/>
      <w:r w:rsidR="00F453EE">
        <w:rPr>
          <w:rFonts w:eastAsiaTheme="minorHAnsi"/>
          <w:szCs w:val="28"/>
          <w:lang w:eastAsia="en-US"/>
        </w:rPr>
        <w:t>Р</w:t>
      </w:r>
      <w:proofErr w:type="gramEnd"/>
      <w:r w:rsidR="00F453EE">
        <w:rPr>
          <w:rFonts w:eastAsiaTheme="minorHAnsi"/>
          <w:szCs w:val="28"/>
          <w:lang w:eastAsia="en-US"/>
        </w:rPr>
        <w:t xml:space="preserve"> 52557-2011).</w:t>
      </w:r>
      <w:r>
        <w:rPr>
          <w:szCs w:val="28"/>
          <w:lang w:eastAsia="en-US"/>
        </w:rPr>
        <w:t xml:space="preserve"> </w:t>
      </w:r>
    </w:p>
    <w:p w:rsidR="00DC500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Упаковка подгузников для детей должна обеспечивать защиту изделий от повреждений, порчи (изнашивания) или загрязнения во время хранения и транспортирования к месту использования по назначению (п. 4.11.5.</w:t>
      </w:r>
      <w:proofErr w:type="gramEnd"/>
      <w:r>
        <w:rPr>
          <w:szCs w:val="28"/>
        </w:rPr>
        <w:t xml:space="preserve"> ГОСТ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51632-2014 «Технические средства реабилитации людей с ограничениями жизнедеятельности. </w:t>
      </w:r>
      <w:proofErr w:type="gramStart"/>
      <w:r>
        <w:rPr>
          <w:szCs w:val="28"/>
        </w:rPr>
        <w:t xml:space="preserve">Общие технические требования и методы испытаний»). </w:t>
      </w:r>
      <w:proofErr w:type="gramEnd"/>
    </w:p>
    <w:p w:rsidR="00DC500E" w:rsidRDefault="00DC500E" w:rsidP="00DC500E">
      <w:pPr>
        <w:pStyle w:val="21"/>
        <w:tabs>
          <w:tab w:val="num" w:pos="284"/>
        </w:tabs>
        <w:ind w:left="0" w:firstLine="567"/>
        <w:rPr>
          <w:bCs/>
          <w:i w:val="0"/>
          <w:iCs w:val="0"/>
          <w:sz w:val="28"/>
          <w:szCs w:val="28"/>
          <w:lang w:eastAsia="ru-RU"/>
        </w:rPr>
      </w:pPr>
      <w:r>
        <w:rPr>
          <w:bCs/>
          <w:i w:val="0"/>
          <w:iCs w:val="0"/>
          <w:sz w:val="28"/>
          <w:szCs w:val="28"/>
          <w:lang w:eastAsia="ru-RU"/>
        </w:rPr>
        <w:t xml:space="preserve">Транспортировка изделий  должна осуществляться в </w:t>
      </w:r>
      <w:proofErr w:type="gramStart"/>
      <w:r>
        <w:rPr>
          <w:bCs/>
          <w:i w:val="0"/>
          <w:iCs w:val="0"/>
          <w:sz w:val="28"/>
          <w:szCs w:val="28"/>
          <w:lang w:eastAsia="ru-RU"/>
        </w:rPr>
        <w:t>соответствии</w:t>
      </w:r>
      <w:proofErr w:type="gramEnd"/>
      <w:r>
        <w:rPr>
          <w:bCs/>
          <w:i w:val="0"/>
          <w:iCs w:val="0"/>
          <w:sz w:val="28"/>
          <w:szCs w:val="28"/>
          <w:lang w:eastAsia="ru-RU"/>
        </w:rPr>
        <w:t xml:space="preserve"> с ГОСТ 6658-75 «Изделие из бумаги и картона. Упаковка, маркировка, транспортирование и хранение» (раздел 3) любым видом крытого транспорта в </w:t>
      </w:r>
      <w:proofErr w:type="gramStart"/>
      <w:r>
        <w:rPr>
          <w:bCs/>
          <w:i w:val="0"/>
          <w:iCs w:val="0"/>
          <w:sz w:val="28"/>
          <w:szCs w:val="28"/>
          <w:lang w:eastAsia="ru-RU"/>
        </w:rPr>
        <w:t>соответствии</w:t>
      </w:r>
      <w:proofErr w:type="gramEnd"/>
      <w:r>
        <w:rPr>
          <w:bCs/>
          <w:i w:val="0"/>
          <w:iCs w:val="0"/>
          <w:sz w:val="28"/>
          <w:szCs w:val="28"/>
          <w:lang w:eastAsia="ru-RU"/>
        </w:rPr>
        <w:t xml:space="preserve"> с правилами перевозки грузов, действующими на данном виде транспорта.</w:t>
      </w:r>
    </w:p>
    <w:p w:rsidR="00DC500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Маркировка грузовых мест (транспортной тары) – по разделу 4 </w:t>
      </w:r>
      <w:hyperlink r:id="rId6" w:history="1">
        <w:r>
          <w:rPr>
            <w:rStyle w:val="a3"/>
            <w:szCs w:val="28"/>
            <w:lang w:eastAsia="en-US"/>
          </w:rPr>
          <w:t>ГОСТ 14192</w:t>
        </w:r>
      </w:hyperlink>
      <w:r>
        <w:rPr>
          <w:szCs w:val="28"/>
          <w:lang w:eastAsia="en-US"/>
        </w:rPr>
        <w:t xml:space="preserve">-96 с нанесением манипуляционного знака "Беречь от влаги". Маркировка, характеризующая упакованную продукцию, - по </w:t>
      </w:r>
      <w:hyperlink r:id="rId7" w:history="1">
        <w:r>
          <w:rPr>
            <w:rStyle w:val="a3"/>
            <w:color w:val="auto"/>
            <w:szCs w:val="28"/>
            <w:lang w:eastAsia="en-US"/>
          </w:rPr>
          <w:t>ГОСТ 6658</w:t>
        </w:r>
      </w:hyperlink>
      <w:r>
        <w:rPr>
          <w:szCs w:val="28"/>
          <w:lang w:eastAsia="en-US"/>
        </w:rPr>
        <w:t>-75 с указанием номера партии (раздел 2).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spacing w:val="-1"/>
          <w:szCs w:val="28"/>
        </w:rPr>
        <w:t xml:space="preserve">Сопроводительные документы должны содержать информацию, подтверждающую, что поставляемое абсорбирующее белье  (подгузники)  соответствуют  требованиям нормативных документов (стандартов): </w:t>
      </w:r>
      <w:proofErr w:type="gramStart"/>
      <w:r>
        <w:rPr>
          <w:bCs/>
          <w:iCs/>
          <w:szCs w:val="28"/>
        </w:rPr>
        <w:t>ТР</w:t>
      </w:r>
      <w:proofErr w:type="gramEnd"/>
      <w:r>
        <w:rPr>
          <w:bCs/>
          <w:iCs/>
          <w:szCs w:val="28"/>
        </w:rPr>
        <w:t xml:space="preserve"> ТС </w:t>
      </w:r>
      <w:r>
        <w:rPr>
          <w:bCs/>
          <w:szCs w:val="28"/>
        </w:rPr>
        <w:t>007/2011 «О безопасности продукции, предназначенной для детей и подростков» ГОСТ 52557-2011 «Подгузники детские бумажные. Общие технические условия»</w:t>
      </w:r>
      <w:r>
        <w:rPr>
          <w:szCs w:val="28"/>
        </w:rPr>
        <w:t xml:space="preserve">. 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/>
          <w:szCs w:val="28"/>
        </w:rPr>
      </w:pP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center"/>
        <w:rPr>
          <w:szCs w:val="28"/>
        </w:rPr>
      </w:pPr>
      <w:r>
        <w:rPr>
          <w:b/>
          <w:szCs w:val="28"/>
        </w:rPr>
        <w:t>Требования к безопасности товара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Cs/>
          <w:iCs/>
          <w:szCs w:val="28"/>
        </w:rPr>
      </w:pPr>
      <w:r>
        <w:rPr>
          <w:bCs/>
          <w:szCs w:val="28"/>
        </w:rPr>
        <w:t xml:space="preserve">Гигиенические показатели </w:t>
      </w:r>
      <w:r>
        <w:rPr>
          <w:szCs w:val="28"/>
        </w:rPr>
        <w:t>подгузников для детей</w:t>
      </w:r>
      <w:r>
        <w:rPr>
          <w:bCs/>
          <w:szCs w:val="28"/>
        </w:rPr>
        <w:t>, обеспечивающие их безопасность для здоровья человека, должны соответствовать нормативам, установленным Техниче</w:t>
      </w:r>
      <w:r>
        <w:rPr>
          <w:bCs/>
          <w:iCs/>
          <w:szCs w:val="28"/>
        </w:rPr>
        <w:t>ским Регламентом Таможенного союза (</w:t>
      </w:r>
      <w:proofErr w:type="gramStart"/>
      <w:r>
        <w:rPr>
          <w:bCs/>
          <w:iCs/>
          <w:szCs w:val="28"/>
        </w:rPr>
        <w:t>ТР</w:t>
      </w:r>
      <w:proofErr w:type="gramEnd"/>
      <w:r>
        <w:rPr>
          <w:bCs/>
          <w:iCs/>
          <w:szCs w:val="28"/>
        </w:rPr>
        <w:t xml:space="preserve"> ТС </w:t>
      </w:r>
      <w:r>
        <w:rPr>
          <w:bCs/>
          <w:szCs w:val="28"/>
        </w:rPr>
        <w:t xml:space="preserve">007/2011 «О безопасности продукции, предназначенной для детей и подростков», Едиными санитарно-эпидемиологическими и гигиеническими требованиями к продукции (товарам), подлежащей санитарно-эпидемиологическому надзору (контролю), </w:t>
      </w:r>
      <w:r>
        <w:rPr>
          <w:bCs/>
          <w:iCs/>
          <w:szCs w:val="28"/>
        </w:rPr>
        <w:t>утвержденными Решением Комиссии таможенного союза от 28.05.2010 № 299</w:t>
      </w:r>
      <w:r>
        <w:rPr>
          <w:bCs/>
          <w:szCs w:val="28"/>
        </w:rPr>
        <w:t>.</w:t>
      </w:r>
    </w:p>
    <w:p w:rsidR="00DC500E" w:rsidRDefault="00DC500E" w:rsidP="00DC500E">
      <w:pPr>
        <w:tabs>
          <w:tab w:val="num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noProof/>
          <w:szCs w:val="28"/>
        </w:rPr>
      </w:pPr>
      <w:r>
        <w:rPr>
          <w:szCs w:val="28"/>
        </w:rPr>
        <w:t>При использовании подгузников для детей по назначению не должно создаваться угрозы для жизни и здоровья получателя, окружающей среды, а также использование изделий не должно причинять вред имуществу потребителя при его эксплуатации (Закон Российской Федерации от 07.02.1992 №2300-1 «О защите прав потребителя»).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Материалы, применяемые для изготовления подгузника </w:t>
      </w:r>
      <w:r>
        <w:rPr>
          <w:szCs w:val="28"/>
        </w:rPr>
        <w:t>для детей,</w:t>
      </w:r>
      <w:r>
        <w:rPr>
          <w:bCs/>
          <w:szCs w:val="28"/>
        </w:rPr>
        <w:t xml:space="preserve"> не должны содержать ядовитых (токсичных) компонентов, а также вызывать аллергических реакций у ребенка-инвалида при соприкосновении с открытыми участками кожи. </w:t>
      </w: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</w:p>
    <w:p w:rsidR="00DC500E" w:rsidRDefault="00DC500E" w:rsidP="00DC500E">
      <w:pPr>
        <w:tabs>
          <w:tab w:val="num" w:pos="284"/>
        </w:tabs>
        <w:spacing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Требования к сроку и (или) объему предоставленных гарантий качества товара</w:t>
      </w:r>
    </w:p>
    <w:p w:rsidR="00DC500E" w:rsidRDefault="00DC500E" w:rsidP="00DC500E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Подгузники являются продукцией одноразовой,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чем срок предоставления гарантии качества не устанавливается, но должен быть указан срок годности изделия и условия хранения.</w:t>
      </w:r>
    </w:p>
    <w:p w:rsidR="00DC500E" w:rsidRDefault="00DC500E" w:rsidP="00DC500E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Срок годности изделий и условия хранения должны быть указаны на упаковке.</w:t>
      </w:r>
    </w:p>
    <w:p w:rsidR="00DC500E" w:rsidRDefault="00DC500E" w:rsidP="00DC500E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Необходимое условие – наличие сертификата соответствия или декларации о соответствии в порядке, установленном Правительство РФ (предоставляется в ходе исполнения контракта). </w:t>
      </w:r>
    </w:p>
    <w:p w:rsidR="00DC500E" w:rsidRDefault="00DC500E" w:rsidP="00DC500E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Остаточный срок годности изделия на момент выдачи изделия конкретному получателю должен составлять не менее 1 года</w:t>
      </w:r>
      <w:r w:rsidR="00A85974">
        <w:rPr>
          <w:szCs w:val="28"/>
        </w:rPr>
        <w:t>.</w:t>
      </w:r>
    </w:p>
    <w:p w:rsidR="00DC500E" w:rsidRDefault="00DC500E" w:rsidP="00DC500E">
      <w:pPr>
        <w:spacing w:line="240" w:lineRule="auto"/>
        <w:ind w:firstLine="720"/>
        <w:jc w:val="both"/>
        <w:rPr>
          <w:szCs w:val="28"/>
        </w:rPr>
      </w:pPr>
    </w:p>
    <w:p w:rsidR="00DC500E" w:rsidRDefault="00DC500E" w:rsidP="00DC500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Требования к месту, срокам и условиям поставки товара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Поставка осуществляется </w:t>
      </w:r>
      <w:r>
        <w:rPr>
          <w:color w:val="000000"/>
          <w:szCs w:val="28"/>
        </w:rPr>
        <w:t xml:space="preserve">по месту проживания (нахождения)  </w:t>
      </w:r>
      <w:r>
        <w:rPr>
          <w:szCs w:val="28"/>
        </w:rPr>
        <w:t>Получателя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а также </w:t>
      </w:r>
      <w:r>
        <w:rPr>
          <w:color w:val="000000"/>
          <w:szCs w:val="28"/>
        </w:rPr>
        <w:t>по месту нахождения пунктов выдачи изделий Поставщика</w:t>
      </w:r>
      <w:r>
        <w:rPr>
          <w:szCs w:val="28"/>
        </w:rPr>
        <w:t xml:space="preserve">, расположенных на территории Оренбургской области. 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При этом пункты выдачи должны располагаться на территории г. Оренбурга, а также в следующих населенных пунктах на территории Оренбургской области: г. Бузулук,  г. Орск,   позволяя осуществлять выдачу ТСР с них в удаленные районы и населенные пункты Оренбургской области.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Право выбора места получения технического средства реабилитации определяется самостоятельно Получателем.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В случае выбора Получателем в качестве места получения технического средства пункт выдачи изделий, выдача технических средств реабилитации должна осуществляться непосредственно в пунктах выдачи изделий, в месте их нахождения.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Пункты выдачи изделий должны соответствовать следующим требованиям: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- должны быть предназначены для обеспечения инвалидов техническими средствами реабилитации;</w:t>
      </w:r>
    </w:p>
    <w:p w:rsidR="00DC500E" w:rsidRDefault="00DC500E" w:rsidP="00DC500E">
      <w:pPr>
        <w:tabs>
          <w:tab w:val="num" w:pos="0"/>
          <w:tab w:val="num" w:pos="18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в </w:t>
      </w:r>
      <w:proofErr w:type="gramStart"/>
      <w:r>
        <w:rPr>
          <w:szCs w:val="28"/>
        </w:rPr>
        <w:t>пунктах</w:t>
      </w:r>
      <w:proofErr w:type="gramEnd"/>
      <w:r>
        <w:rPr>
          <w:szCs w:val="28"/>
        </w:rPr>
        <w:t xml:space="preserve">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сутки.</w:t>
      </w:r>
    </w:p>
    <w:p w:rsidR="00DC500E" w:rsidRDefault="00DC500E" w:rsidP="00DC500E">
      <w:pPr>
        <w:tabs>
          <w:tab w:val="num" w:pos="0"/>
        </w:tabs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Поставка товара Получателям осуществляется   в течение 30 дней с момента получения реестра от Заказчика, а в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C500E" w:rsidRDefault="00DC500E" w:rsidP="00DC500E">
      <w:pPr>
        <w:spacing w:line="240" w:lineRule="auto"/>
        <w:ind w:firstLine="720"/>
        <w:jc w:val="both"/>
        <w:rPr>
          <w:szCs w:val="28"/>
        </w:rPr>
      </w:pPr>
    </w:p>
    <w:p w:rsidR="00DC500E" w:rsidRDefault="00DC500E" w:rsidP="00DC500E">
      <w:pPr>
        <w:spacing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Обоснование использования показателей, требований, условных обозначений и терминологии</w:t>
      </w:r>
    </w:p>
    <w:p w:rsidR="00DC500E" w:rsidRDefault="00DC500E" w:rsidP="00DC500E">
      <w:pPr>
        <w:spacing w:line="240" w:lineRule="auto"/>
        <w:ind w:firstLine="720"/>
        <w:jc w:val="both"/>
        <w:rPr>
          <w:szCs w:val="28"/>
        </w:rPr>
      </w:pPr>
      <w:proofErr w:type="gramStart"/>
      <w:r>
        <w:rPr>
          <w:bCs/>
          <w:color w:val="000000"/>
          <w:szCs w:val="28"/>
        </w:rPr>
        <w:t>Терминология, показатели, требования и условные обозначения  в данной Документации приведена в соответствии с Приказом Минтруда России от 28.12.2017 N 888н 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</w:t>
      </w:r>
      <w:proofErr w:type="gramEnd"/>
      <w:r>
        <w:rPr>
          <w:bCs/>
          <w:color w:val="000000"/>
          <w:szCs w:val="28"/>
        </w:rPr>
        <w:t xml:space="preserve"> реабилитации и услуг, предоставляемых инвалиду, утвержденного Распоряжением Правительства Российской Федерации от 30 декабря 2005 г. N 2347-Р» и ИПРА (ИПР) инвалидов.</w:t>
      </w:r>
    </w:p>
    <w:p w:rsidR="00DC500E" w:rsidRDefault="00DC500E" w:rsidP="00DC500E">
      <w:pPr>
        <w:jc w:val="right"/>
        <w:rPr>
          <w:sz w:val="26"/>
          <w:szCs w:val="26"/>
        </w:rPr>
      </w:pPr>
      <w:r>
        <w:rPr>
          <w:b/>
          <w:sz w:val="19"/>
          <w:szCs w:val="19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311"/>
        <w:gridCol w:w="1855"/>
        <w:gridCol w:w="1455"/>
      </w:tblGrid>
      <w:tr w:rsidR="00DC500E" w:rsidTr="00DC500E">
        <w:trPr>
          <w:trHeight w:val="4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 w:rsidP="00A8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A85974">
              <w:rPr>
                <w:sz w:val="22"/>
                <w:szCs w:val="22"/>
              </w:rPr>
              <w:t xml:space="preserve">и код </w:t>
            </w:r>
            <w:r>
              <w:rPr>
                <w:sz w:val="22"/>
                <w:szCs w:val="22"/>
              </w:rPr>
              <w:t xml:space="preserve">объекта закупки по КТРУ 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74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A85974">
              <w:rPr>
                <w:sz w:val="22"/>
                <w:szCs w:val="22"/>
              </w:rPr>
              <w:t>и номер вида ТСР</w:t>
            </w:r>
          </w:p>
          <w:p w:rsidR="00DC500E" w:rsidRDefault="00A85974" w:rsidP="00A8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C500E">
              <w:rPr>
                <w:sz w:val="22"/>
                <w:szCs w:val="22"/>
              </w:rPr>
              <w:t>о классификатору</w:t>
            </w:r>
            <w:bookmarkStart w:id="1" w:name="_GoBack"/>
            <w:bookmarkEnd w:id="1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(шт.)</w:t>
            </w:r>
          </w:p>
        </w:tc>
      </w:tr>
      <w:tr w:rsidR="00DC500E" w:rsidTr="00DC500E">
        <w:trPr>
          <w:trHeight w:val="306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Подгузники </w:t>
            </w:r>
            <w:r>
              <w:rPr>
                <w:sz w:val="22"/>
                <w:szCs w:val="22"/>
              </w:rPr>
              <w:lastRenderedPageBreak/>
              <w:t>детские 17.22.12.120-00000001</w:t>
            </w:r>
          </w:p>
          <w:p w:rsidR="00DC500E" w:rsidRDefault="00DC500E">
            <w:pPr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</w:p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Подгузники для детей до 9 кг</w:t>
            </w:r>
          </w:p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22-01-16</w:t>
            </w:r>
          </w:p>
          <w:p w:rsidR="00DC500E" w:rsidRDefault="00DC5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весом от 4 до 9 </w:t>
            </w:r>
            <w:r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3010</w:t>
            </w:r>
          </w:p>
        </w:tc>
      </w:tr>
      <w:tr w:rsidR="00DC500E" w:rsidTr="00DC500E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детей до 20 кг</w:t>
            </w:r>
          </w:p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22-01-17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весом от 7 до </w:t>
            </w:r>
            <w:smartTag w:uri="urn:schemas-microsoft-com:office:smarttags" w:element="metricconverter">
              <w:smartTagPr>
                <w:attr w:name="ProductID" w:val="18 кг"/>
              </w:smartTagPr>
              <w:r>
                <w:rPr>
                  <w:sz w:val="22"/>
                  <w:szCs w:val="22"/>
                </w:rPr>
                <w:t>18 кг</w:t>
              </w:r>
            </w:smartTag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20460</w:t>
            </w:r>
          </w:p>
        </w:tc>
      </w:tr>
      <w:tr w:rsidR="00DC500E" w:rsidTr="00DC500E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весом от 11 до 25 кг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64400</w:t>
            </w:r>
          </w:p>
        </w:tc>
      </w:tr>
      <w:tr w:rsidR="00DC500E" w:rsidTr="00DC500E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детей свыше 20 кг</w:t>
            </w:r>
          </w:p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22-01-18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весом от 15 до 30 кг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70400</w:t>
            </w:r>
          </w:p>
        </w:tc>
      </w:tr>
      <w:tr w:rsidR="00DC500E" w:rsidTr="00DC500E">
        <w:trPr>
          <w:trHeight w:val="560"/>
        </w:trPr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0E" w:rsidRDefault="00DC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158270</w:t>
            </w:r>
          </w:p>
        </w:tc>
      </w:tr>
    </w:tbl>
    <w:p w:rsidR="00DC500E" w:rsidRDefault="00DC500E" w:rsidP="00DC500E">
      <w:pPr>
        <w:jc w:val="both"/>
        <w:rPr>
          <w:sz w:val="26"/>
          <w:szCs w:val="26"/>
        </w:rPr>
      </w:pPr>
    </w:p>
    <w:p w:rsidR="00C72488" w:rsidRDefault="00C72488"/>
    <w:sectPr w:rsidR="00C7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B5"/>
    <w:rsid w:val="00A85974"/>
    <w:rsid w:val="00C72488"/>
    <w:rsid w:val="00CB76B5"/>
    <w:rsid w:val="00DC500E"/>
    <w:rsid w:val="00F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0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00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DC500E"/>
    <w:pPr>
      <w:tabs>
        <w:tab w:val="center" w:pos="1134"/>
      </w:tabs>
      <w:suppressAutoHyphens/>
      <w:overflowPunct w:val="0"/>
      <w:autoSpaceDE w:val="0"/>
      <w:spacing w:line="240" w:lineRule="auto"/>
      <w:ind w:left="360"/>
      <w:jc w:val="both"/>
    </w:pPr>
    <w:rPr>
      <w:i/>
      <w:iCs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5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0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00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DC500E"/>
    <w:pPr>
      <w:tabs>
        <w:tab w:val="center" w:pos="1134"/>
      </w:tabs>
      <w:suppressAutoHyphens/>
      <w:overflowPunct w:val="0"/>
      <w:autoSpaceDE w:val="0"/>
      <w:spacing w:line="240" w:lineRule="auto"/>
      <w:ind w:left="360"/>
      <w:jc w:val="both"/>
    </w:pPr>
    <w:rPr>
      <w:i/>
      <w:iCs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5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DAC89DC30EC5BADC447A42D388674D9F8247CCD8FA9063B36124Z8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AC89DC30EC5BADC446642CF88674D9F8F4ACFD1A79A6BEA6D268FZDF4J" TargetMode="External"/><Relationship Id="rId5" Type="http://schemas.openxmlformats.org/officeDocument/2006/relationships/hyperlink" Target="consultantplus://offline/ref=61316F9A6F555027F47A470CD0200EDA2D5C9F16DAD7FCECF70A15PB1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Чурей Александра Васильевна</dc:creator>
  <cp:keywords/>
  <dc:description/>
  <cp:lastModifiedBy>Чурей Александра Васильевна</cp:lastModifiedBy>
  <cp:revision>4</cp:revision>
  <cp:lastPrinted>2020-07-31T09:40:00Z</cp:lastPrinted>
  <dcterms:created xsi:type="dcterms:W3CDTF">2020-07-31T07:24:00Z</dcterms:created>
  <dcterms:modified xsi:type="dcterms:W3CDTF">2020-07-31T09:51:00Z</dcterms:modified>
</cp:coreProperties>
</file>