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5B" w:rsidRPr="009E0EEB" w:rsidRDefault="0032105B" w:rsidP="0032105B">
      <w:pPr>
        <w:keepNext/>
        <w:keepLines/>
        <w:jc w:val="center"/>
      </w:pPr>
      <w:r>
        <w:rPr>
          <w:rStyle w:val="FontStyle63"/>
        </w:rPr>
        <w:t>Техническое задание</w:t>
      </w:r>
    </w:p>
    <w:p w:rsidR="0032105B" w:rsidRPr="009E0EEB" w:rsidRDefault="0032105B" w:rsidP="0032105B">
      <w:pPr>
        <w:widowControl w:val="0"/>
        <w:jc w:val="center"/>
      </w:pPr>
      <w:r w:rsidRPr="009E0EEB">
        <w:t>поставка технических средств реабилитации (</w:t>
      </w:r>
      <w:r w:rsidRPr="009E0EEB">
        <w:rPr>
          <w:b/>
        </w:rPr>
        <w:t>подгузников детских</w:t>
      </w:r>
      <w:r w:rsidRPr="009E0EEB">
        <w:t>) для обеспечения детей-инвалидов Орловской области в 2020 году.</w:t>
      </w:r>
    </w:p>
    <w:p w:rsidR="0032105B" w:rsidRPr="009E0EEB" w:rsidRDefault="0032105B" w:rsidP="0032105B">
      <w:pPr>
        <w:widowControl w:val="0"/>
        <w:ind w:firstLine="709"/>
        <w:jc w:val="both"/>
        <w:rPr>
          <w:bCs/>
        </w:rPr>
      </w:pPr>
    </w:p>
    <w:p w:rsidR="0032105B" w:rsidRPr="009E0EEB" w:rsidRDefault="0032105B" w:rsidP="0032105B">
      <w:pPr>
        <w:pStyle w:val="a3"/>
        <w:keepNext/>
        <w:tabs>
          <w:tab w:val="left" w:pos="0"/>
        </w:tabs>
        <w:ind w:firstLine="567"/>
        <w:rPr>
          <w:sz w:val="22"/>
          <w:szCs w:val="22"/>
        </w:rPr>
      </w:pPr>
      <w:r w:rsidRPr="009E0EEB">
        <w:rPr>
          <w:sz w:val="22"/>
          <w:szCs w:val="22"/>
        </w:rPr>
        <w:t>Количество выполняемых работ (</w:t>
      </w:r>
      <w:r w:rsidRPr="009E0EEB">
        <w:rPr>
          <w:bCs/>
          <w:sz w:val="22"/>
          <w:szCs w:val="22"/>
        </w:rPr>
        <w:t>поставки товара, оказания услуг)</w:t>
      </w:r>
      <w:r w:rsidRPr="009E0EEB">
        <w:rPr>
          <w:sz w:val="22"/>
          <w:szCs w:val="22"/>
        </w:rPr>
        <w:t xml:space="preserve">: </w:t>
      </w:r>
      <w:r w:rsidRPr="009E0EEB">
        <w:rPr>
          <w:b/>
          <w:sz w:val="22"/>
          <w:szCs w:val="22"/>
        </w:rPr>
        <w:t>в соответствии со ст.42 Федерального закона №44-ФЗ от 05.04.2013г. количество товара, подлежащего поставке, невозможно определить</w:t>
      </w:r>
      <w:r w:rsidRPr="009E0EEB">
        <w:rPr>
          <w:sz w:val="22"/>
          <w:szCs w:val="22"/>
        </w:rPr>
        <w:t>.</w:t>
      </w:r>
      <w:r w:rsidRPr="009E0EEB">
        <w:rPr>
          <w:bCs/>
          <w:sz w:val="22"/>
          <w:szCs w:val="22"/>
        </w:rPr>
        <w:t xml:space="preserve"> </w:t>
      </w:r>
    </w:p>
    <w:p w:rsidR="0032105B" w:rsidRPr="009E0EEB" w:rsidRDefault="0032105B" w:rsidP="0032105B">
      <w:pPr>
        <w:keepNext/>
        <w:widowControl w:val="0"/>
        <w:ind w:firstLine="567"/>
        <w:jc w:val="both"/>
        <w:rPr>
          <w:sz w:val="22"/>
          <w:szCs w:val="22"/>
        </w:rPr>
      </w:pPr>
      <w:r w:rsidRPr="009E0EEB">
        <w:rPr>
          <w:bCs/>
          <w:sz w:val="22"/>
          <w:szCs w:val="22"/>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32105B" w:rsidRPr="009E0EEB" w:rsidRDefault="0032105B" w:rsidP="0032105B">
      <w:pPr>
        <w:pStyle w:val="ConsPlusNormal"/>
        <w:keepNext/>
        <w:ind w:firstLine="567"/>
        <w:jc w:val="both"/>
        <w:rPr>
          <w:rFonts w:ascii="Times New Roman" w:hAnsi="Times New Roman" w:cs="Times New Roman"/>
          <w:sz w:val="22"/>
          <w:szCs w:val="22"/>
        </w:rPr>
      </w:pPr>
      <w:r w:rsidRPr="009E0EEB">
        <w:rPr>
          <w:rFonts w:ascii="Times New Roman" w:hAnsi="Times New Roman" w:cs="Times New Roman"/>
          <w:sz w:val="22"/>
          <w:szCs w:val="22"/>
        </w:rPr>
        <w:t xml:space="preserve">Начальная сумма цен указанных единиц: </w:t>
      </w:r>
      <w:r w:rsidRPr="009E0EEB">
        <w:rPr>
          <w:rFonts w:ascii="Times New Roman" w:hAnsi="Times New Roman" w:cs="Times New Roman"/>
          <w:b/>
          <w:sz w:val="22"/>
          <w:szCs w:val="22"/>
        </w:rPr>
        <w:t>36,68 руб.</w:t>
      </w:r>
    </w:p>
    <w:p w:rsidR="0032105B" w:rsidRPr="009E0EEB" w:rsidRDefault="0032105B" w:rsidP="0032105B">
      <w:pPr>
        <w:pStyle w:val="ConsPlusNormal"/>
        <w:keepNext/>
        <w:ind w:firstLine="567"/>
        <w:jc w:val="both"/>
        <w:rPr>
          <w:rFonts w:ascii="Times New Roman" w:hAnsi="Times New Roman" w:cs="Times New Roman"/>
          <w:sz w:val="22"/>
          <w:szCs w:val="22"/>
        </w:rPr>
      </w:pPr>
      <w:r w:rsidRPr="009E0EEB">
        <w:rPr>
          <w:rFonts w:ascii="Times New Roman" w:hAnsi="Times New Roman" w:cs="Times New Roman"/>
          <w:sz w:val="22"/>
          <w:szCs w:val="22"/>
        </w:rPr>
        <w:t xml:space="preserve">Максимальное значение цены Контракта: </w:t>
      </w:r>
      <w:r w:rsidRPr="009E0EEB">
        <w:rPr>
          <w:rFonts w:ascii="Times New Roman" w:hAnsi="Times New Roman" w:cs="Times New Roman"/>
          <w:b/>
          <w:sz w:val="22"/>
          <w:szCs w:val="22"/>
        </w:rPr>
        <w:t>1 150 000,00 руб.</w:t>
      </w:r>
    </w:p>
    <w:p w:rsidR="0032105B" w:rsidRPr="009E0EEB" w:rsidRDefault="0032105B" w:rsidP="0032105B">
      <w:pPr>
        <w:pStyle w:val="ConsPlusNormal"/>
        <w:keepNext/>
        <w:ind w:firstLine="567"/>
        <w:jc w:val="both"/>
        <w:rPr>
          <w:rFonts w:ascii="Times New Roman" w:hAnsi="Times New Roman" w:cs="Times New Roman"/>
          <w:sz w:val="22"/>
          <w:szCs w:val="22"/>
        </w:rPr>
      </w:pPr>
      <w:r w:rsidRPr="009E0EEB">
        <w:rPr>
          <w:rFonts w:ascii="Times New Roman" w:hAnsi="Times New Roman" w:cs="Times New Roman"/>
          <w:sz w:val="22"/>
          <w:szCs w:val="22"/>
        </w:rPr>
        <w:t>Цена Контракта включает в себя все расходы Поставщика по исполнению Контракта, а также страхование, уплата всех пошлин, налогов и других обязательных платежей, доставка Товара Получателям.</w:t>
      </w:r>
    </w:p>
    <w:p w:rsidR="0032105B" w:rsidRPr="009E0EEB" w:rsidRDefault="0032105B" w:rsidP="0032105B">
      <w:pPr>
        <w:pStyle w:val="ConsPlusNormal"/>
        <w:keepNext/>
        <w:ind w:firstLine="567"/>
        <w:jc w:val="both"/>
        <w:rPr>
          <w:rFonts w:ascii="Times New Roman" w:hAnsi="Times New Roman" w:cs="Times New Roman"/>
          <w:sz w:val="22"/>
          <w:szCs w:val="22"/>
        </w:rPr>
      </w:pPr>
      <w:r w:rsidRPr="009E0EEB">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32105B" w:rsidRPr="009E0EEB" w:rsidRDefault="0032105B" w:rsidP="0032105B">
      <w:pPr>
        <w:pStyle w:val="ConsPlusNormal"/>
        <w:keepNext/>
        <w:ind w:firstLine="567"/>
        <w:jc w:val="both"/>
        <w:rPr>
          <w:rFonts w:ascii="Times New Roman" w:hAnsi="Times New Roman" w:cs="Times New Roman"/>
          <w:sz w:val="22"/>
          <w:szCs w:val="22"/>
        </w:rPr>
      </w:pPr>
    </w:p>
    <w:tbl>
      <w:tblPr>
        <w:tblW w:w="4945"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479"/>
        <w:gridCol w:w="990"/>
        <w:gridCol w:w="1348"/>
        <w:gridCol w:w="746"/>
        <w:gridCol w:w="899"/>
        <w:gridCol w:w="2399"/>
        <w:gridCol w:w="2397"/>
        <w:gridCol w:w="1049"/>
      </w:tblGrid>
      <w:tr w:rsidR="0032105B" w:rsidRPr="009E0EEB" w:rsidTr="00C81429">
        <w:tc>
          <w:tcPr>
            <w:tcW w:w="232" w:type="pct"/>
            <w:shd w:val="clear" w:color="auto" w:fill="auto"/>
            <w:tcMar>
              <w:left w:w="108" w:type="dxa"/>
            </w:tcMar>
            <w:vAlign w:val="center"/>
          </w:tcPr>
          <w:p w:rsidR="0032105B" w:rsidRPr="009E0EEB" w:rsidRDefault="0032105B" w:rsidP="00C81429">
            <w:pPr>
              <w:contextualSpacing/>
              <w:jc w:val="center"/>
              <w:rPr>
                <w:b/>
                <w:sz w:val="14"/>
                <w:szCs w:val="14"/>
              </w:rPr>
            </w:pPr>
            <w:r w:rsidRPr="009E0EEB">
              <w:rPr>
                <w:b/>
                <w:sz w:val="14"/>
                <w:szCs w:val="14"/>
              </w:rPr>
              <w:t xml:space="preserve">№ </w:t>
            </w:r>
            <w:proofErr w:type="gramStart"/>
            <w:r w:rsidRPr="009E0EEB">
              <w:rPr>
                <w:b/>
                <w:sz w:val="14"/>
                <w:szCs w:val="14"/>
              </w:rPr>
              <w:t>п</w:t>
            </w:r>
            <w:proofErr w:type="gramEnd"/>
            <w:r w:rsidRPr="009E0EEB">
              <w:rPr>
                <w:b/>
                <w:sz w:val="14"/>
                <w:szCs w:val="14"/>
              </w:rPr>
              <w:t>/п</w:t>
            </w:r>
          </w:p>
        </w:tc>
        <w:tc>
          <w:tcPr>
            <w:tcW w:w="480" w:type="pct"/>
            <w:shd w:val="clear" w:color="auto" w:fill="auto"/>
            <w:vAlign w:val="center"/>
          </w:tcPr>
          <w:p w:rsidR="0032105B" w:rsidRPr="009E0EEB" w:rsidRDefault="0032105B" w:rsidP="00C81429">
            <w:pPr>
              <w:contextualSpacing/>
              <w:jc w:val="center"/>
              <w:rPr>
                <w:b/>
                <w:sz w:val="14"/>
                <w:szCs w:val="14"/>
              </w:rPr>
            </w:pPr>
            <w:r w:rsidRPr="009E0EEB">
              <w:rPr>
                <w:b/>
                <w:sz w:val="14"/>
                <w:szCs w:val="14"/>
              </w:rPr>
              <w:t>Наименование товара</w:t>
            </w:r>
          </w:p>
        </w:tc>
        <w:tc>
          <w:tcPr>
            <w:tcW w:w="654" w:type="pct"/>
            <w:vAlign w:val="center"/>
          </w:tcPr>
          <w:p w:rsidR="0032105B" w:rsidRPr="009E0EEB" w:rsidRDefault="0032105B" w:rsidP="00C81429">
            <w:pPr>
              <w:contextualSpacing/>
              <w:jc w:val="center"/>
              <w:rPr>
                <w:b/>
                <w:sz w:val="14"/>
                <w:szCs w:val="14"/>
              </w:rPr>
            </w:pPr>
            <w:r w:rsidRPr="009E0EEB">
              <w:rPr>
                <w:b/>
                <w:sz w:val="14"/>
                <w:szCs w:val="14"/>
              </w:rPr>
              <w:t>Наименование товара по Приказу №86н от 13.02.2018 г.</w:t>
            </w:r>
          </w:p>
        </w:tc>
        <w:tc>
          <w:tcPr>
            <w:tcW w:w="362" w:type="pct"/>
            <w:shd w:val="clear" w:color="auto" w:fill="auto"/>
            <w:tcMar>
              <w:left w:w="108" w:type="dxa"/>
            </w:tcMar>
            <w:vAlign w:val="center"/>
          </w:tcPr>
          <w:p w:rsidR="0032105B" w:rsidRPr="009E0EEB" w:rsidRDefault="0032105B" w:rsidP="00C81429">
            <w:pPr>
              <w:contextualSpacing/>
              <w:jc w:val="center"/>
              <w:rPr>
                <w:b/>
                <w:sz w:val="14"/>
                <w:szCs w:val="14"/>
              </w:rPr>
            </w:pPr>
            <w:r w:rsidRPr="009E0EEB">
              <w:rPr>
                <w:b/>
                <w:sz w:val="14"/>
                <w:szCs w:val="14"/>
              </w:rPr>
              <w:t>КОЗ</w:t>
            </w:r>
          </w:p>
        </w:tc>
        <w:tc>
          <w:tcPr>
            <w:tcW w:w="436" w:type="pct"/>
            <w:vAlign w:val="center"/>
          </w:tcPr>
          <w:p w:rsidR="0032105B" w:rsidRPr="009E0EEB" w:rsidRDefault="0032105B" w:rsidP="00C81429">
            <w:pPr>
              <w:contextualSpacing/>
              <w:jc w:val="center"/>
              <w:rPr>
                <w:b/>
                <w:sz w:val="14"/>
                <w:szCs w:val="14"/>
              </w:rPr>
            </w:pPr>
            <w:r w:rsidRPr="009E0EEB">
              <w:rPr>
                <w:b/>
                <w:sz w:val="14"/>
                <w:szCs w:val="14"/>
              </w:rPr>
              <w:t>Наименование позиции КТРУ</w:t>
            </w:r>
          </w:p>
        </w:tc>
        <w:tc>
          <w:tcPr>
            <w:tcW w:w="1164" w:type="pct"/>
            <w:shd w:val="clear" w:color="auto" w:fill="auto"/>
            <w:tcMar>
              <w:left w:w="108" w:type="dxa"/>
            </w:tcMar>
            <w:vAlign w:val="center"/>
          </w:tcPr>
          <w:p w:rsidR="0032105B" w:rsidRPr="009E0EEB" w:rsidRDefault="0032105B" w:rsidP="00C81429">
            <w:pPr>
              <w:contextualSpacing/>
              <w:jc w:val="center"/>
              <w:rPr>
                <w:b/>
                <w:sz w:val="14"/>
                <w:szCs w:val="14"/>
              </w:rPr>
            </w:pPr>
            <w:r w:rsidRPr="009E0EEB">
              <w:rPr>
                <w:b/>
                <w:sz w:val="14"/>
                <w:szCs w:val="14"/>
              </w:rPr>
              <w:t>Наименование показателя</w:t>
            </w:r>
          </w:p>
        </w:tc>
        <w:tc>
          <w:tcPr>
            <w:tcW w:w="1163" w:type="pct"/>
            <w:shd w:val="clear" w:color="auto" w:fill="auto"/>
            <w:tcMar>
              <w:left w:w="108" w:type="dxa"/>
            </w:tcMar>
            <w:vAlign w:val="center"/>
          </w:tcPr>
          <w:p w:rsidR="0032105B" w:rsidRPr="009E0EEB" w:rsidRDefault="0032105B" w:rsidP="00C81429">
            <w:pPr>
              <w:contextualSpacing/>
              <w:jc w:val="center"/>
              <w:rPr>
                <w:b/>
                <w:sz w:val="14"/>
                <w:szCs w:val="14"/>
              </w:rPr>
            </w:pPr>
            <w:r w:rsidRPr="009E0EEB">
              <w:rPr>
                <w:b/>
                <w:sz w:val="14"/>
                <w:szCs w:val="14"/>
              </w:rPr>
              <w:t>Значение показателя</w:t>
            </w:r>
          </w:p>
        </w:tc>
        <w:tc>
          <w:tcPr>
            <w:tcW w:w="509" w:type="pct"/>
            <w:shd w:val="clear" w:color="auto" w:fill="auto"/>
            <w:tcMar>
              <w:left w:w="108" w:type="dxa"/>
            </w:tcMar>
            <w:vAlign w:val="center"/>
          </w:tcPr>
          <w:p w:rsidR="0032105B" w:rsidRPr="009E0EEB" w:rsidRDefault="0032105B" w:rsidP="00C81429">
            <w:pPr>
              <w:contextualSpacing/>
              <w:jc w:val="center"/>
              <w:rPr>
                <w:b/>
                <w:sz w:val="14"/>
                <w:szCs w:val="14"/>
              </w:rPr>
            </w:pPr>
            <w:r w:rsidRPr="009E0EEB">
              <w:rPr>
                <w:b/>
                <w:sz w:val="14"/>
                <w:szCs w:val="14"/>
              </w:rPr>
              <w:t>Цена за единицу, руб.</w:t>
            </w:r>
          </w:p>
        </w:tc>
      </w:tr>
      <w:tr w:rsidR="0032105B" w:rsidRPr="009E0EEB" w:rsidTr="00C81429">
        <w:trPr>
          <w:trHeight w:val="95"/>
        </w:trPr>
        <w:tc>
          <w:tcPr>
            <w:tcW w:w="232" w:type="pct"/>
            <w:vMerge w:val="restart"/>
            <w:shd w:val="clear" w:color="auto" w:fill="auto"/>
            <w:tcMar>
              <w:left w:w="108" w:type="dxa"/>
            </w:tcMar>
          </w:tcPr>
          <w:p w:rsidR="0032105B" w:rsidRPr="009E0EEB" w:rsidRDefault="0032105B" w:rsidP="00C81429">
            <w:pPr>
              <w:contextualSpacing/>
              <w:jc w:val="center"/>
              <w:rPr>
                <w:sz w:val="16"/>
                <w:szCs w:val="16"/>
              </w:rPr>
            </w:pPr>
            <w:r w:rsidRPr="009E0EEB">
              <w:rPr>
                <w:sz w:val="16"/>
                <w:szCs w:val="16"/>
              </w:rPr>
              <w:t>1</w:t>
            </w:r>
          </w:p>
        </w:tc>
        <w:tc>
          <w:tcPr>
            <w:tcW w:w="480" w:type="pct"/>
            <w:vMerge w:val="restart"/>
            <w:shd w:val="clear" w:color="auto" w:fill="auto"/>
          </w:tcPr>
          <w:p w:rsidR="0032105B" w:rsidRPr="009E0EEB" w:rsidRDefault="0032105B" w:rsidP="00C81429">
            <w:pPr>
              <w:contextualSpacing/>
              <w:jc w:val="center"/>
              <w:rPr>
                <w:sz w:val="16"/>
                <w:szCs w:val="16"/>
              </w:rPr>
            </w:pPr>
            <w:r w:rsidRPr="009E0EEB">
              <w:rPr>
                <w:sz w:val="16"/>
                <w:szCs w:val="16"/>
              </w:rPr>
              <w:t>Подгузники для детей весом до 9 кг</w:t>
            </w:r>
          </w:p>
          <w:p w:rsidR="0032105B" w:rsidRPr="009E0EEB" w:rsidRDefault="0032105B" w:rsidP="00C81429">
            <w:pPr>
              <w:contextualSpacing/>
              <w:jc w:val="center"/>
              <w:rPr>
                <w:sz w:val="16"/>
                <w:szCs w:val="16"/>
              </w:rPr>
            </w:pPr>
          </w:p>
          <w:p w:rsidR="0032105B" w:rsidRPr="009E0EEB" w:rsidRDefault="0032105B" w:rsidP="00C81429">
            <w:pPr>
              <w:contextualSpacing/>
              <w:jc w:val="center"/>
              <w:rPr>
                <w:b/>
                <w:sz w:val="16"/>
                <w:szCs w:val="16"/>
              </w:rPr>
            </w:pPr>
          </w:p>
        </w:tc>
        <w:tc>
          <w:tcPr>
            <w:tcW w:w="654" w:type="pct"/>
            <w:vMerge w:val="restart"/>
          </w:tcPr>
          <w:p w:rsidR="0032105B" w:rsidRPr="009E0EEB" w:rsidRDefault="0032105B" w:rsidP="00C81429">
            <w:pPr>
              <w:contextualSpacing/>
              <w:jc w:val="center"/>
              <w:rPr>
                <w:sz w:val="16"/>
                <w:szCs w:val="16"/>
              </w:rPr>
            </w:pPr>
            <w:r w:rsidRPr="009E0EEB">
              <w:rPr>
                <w:bCs/>
                <w:sz w:val="16"/>
                <w:szCs w:val="16"/>
              </w:rPr>
              <w:t xml:space="preserve">22-01-16 - </w:t>
            </w:r>
            <w:r w:rsidRPr="009E0EEB">
              <w:rPr>
                <w:sz w:val="16"/>
                <w:szCs w:val="16"/>
              </w:rPr>
              <w:t>Подгузники для детей весом до 9 кг</w:t>
            </w:r>
          </w:p>
          <w:p w:rsidR="0032105B" w:rsidRPr="009E0EEB" w:rsidRDefault="0032105B" w:rsidP="00C81429">
            <w:pPr>
              <w:contextualSpacing/>
              <w:jc w:val="center"/>
              <w:rPr>
                <w:bCs/>
                <w:sz w:val="16"/>
                <w:szCs w:val="16"/>
              </w:rPr>
            </w:pPr>
          </w:p>
        </w:tc>
        <w:tc>
          <w:tcPr>
            <w:tcW w:w="362" w:type="pct"/>
            <w:vMerge w:val="restart"/>
            <w:shd w:val="clear" w:color="auto" w:fill="auto"/>
            <w:tcMar>
              <w:left w:w="108" w:type="dxa"/>
            </w:tcMar>
          </w:tcPr>
          <w:p w:rsidR="0032105B" w:rsidRPr="009E0EEB" w:rsidRDefault="0032105B" w:rsidP="00C81429">
            <w:pPr>
              <w:contextualSpacing/>
              <w:jc w:val="center"/>
              <w:rPr>
                <w:sz w:val="16"/>
                <w:szCs w:val="16"/>
              </w:rPr>
            </w:pPr>
            <w:r w:rsidRPr="009E0EEB">
              <w:rPr>
                <w:sz w:val="16"/>
                <w:szCs w:val="16"/>
              </w:rPr>
              <w:t>01.28.22.01.16</w:t>
            </w:r>
          </w:p>
        </w:tc>
        <w:tc>
          <w:tcPr>
            <w:tcW w:w="436" w:type="pct"/>
            <w:vMerge w:val="restart"/>
          </w:tcPr>
          <w:p w:rsidR="0032105B" w:rsidRPr="009E0EEB" w:rsidRDefault="0032105B" w:rsidP="00C81429">
            <w:pPr>
              <w:contextualSpacing/>
              <w:jc w:val="center"/>
              <w:rPr>
                <w:sz w:val="16"/>
                <w:szCs w:val="16"/>
              </w:rPr>
            </w:pPr>
            <w:r w:rsidRPr="009E0EEB">
              <w:rPr>
                <w:sz w:val="16"/>
                <w:szCs w:val="16"/>
              </w:rPr>
              <w:t>17.22.12.120.120-00000001 Подгузники детские</w:t>
            </w:r>
          </w:p>
        </w:tc>
        <w:tc>
          <w:tcPr>
            <w:tcW w:w="2327" w:type="pct"/>
            <w:gridSpan w:val="2"/>
            <w:shd w:val="clear" w:color="auto" w:fill="auto"/>
            <w:tcMar>
              <w:left w:w="108" w:type="dxa"/>
            </w:tcMar>
          </w:tcPr>
          <w:p w:rsidR="0032105B" w:rsidRPr="009E0EEB" w:rsidRDefault="0032105B" w:rsidP="00C81429">
            <w:pPr>
              <w:contextualSpacing/>
              <w:jc w:val="center"/>
              <w:rPr>
                <w:sz w:val="16"/>
                <w:szCs w:val="16"/>
              </w:rPr>
            </w:pPr>
            <w:r w:rsidRPr="009E0EEB">
              <w:rPr>
                <w:b/>
                <w:sz w:val="16"/>
                <w:szCs w:val="16"/>
              </w:rPr>
              <w:t xml:space="preserve">Дополнительные характеристики </w:t>
            </w:r>
            <w:r w:rsidRPr="009E0EEB">
              <w:rPr>
                <w:sz w:val="16"/>
                <w:szCs w:val="16"/>
              </w:rPr>
              <w:t>(Применяются в связи с отсутствием технических характеристик для данного КТРУ и необходимостью применения приказа 86н от 13.02.2018 г.)</w:t>
            </w:r>
          </w:p>
        </w:tc>
        <w:tc>
          <w:tcPr>
            <w:tcW w:w="509" w:type="pct"/>
            <w:vMerge w:val="restart"/>
            <w:shd w:val="clear" w:color="auto" w:fill="auto"/>
            <w:tcMar>
              <w:left w:w="108" w:type="dxa"/>
            </w:tcMar>
          </w:tcPr>
          <w:p w:rsidR="0032105B" w:rsidRPr="009E0EEB" w:rsidRDefault="0032105B" w:rsidP="00C81429">
            <w:pPr>
              <w:jc w:val="center"/>
              <w:rPr>
                <w:sz w:val="16"/>
                <w:szCs w:val="16"/>
              </w:rPr>
            </w:pPr>
            <w:r w:rsidRPr="009E0EEB">
              <w:rPr>
                <w:sz w:val="16"/>
                <w:szCs w:val="16"/>
              </w:rPr>
              <w:t>10,13</w:t>
            </w:r>
          </w:p>
        </w:tc>
      </w:tr>
      <w:tr w:rsidR="0032105B" w:rsidRPr="009E0EEB" w:rsidTr="00C81429">
        <w:trPr>
          <w:trHeight w:val="95"/>
        </w:trPr>
        <w:tc>
          <w:tcPr>
            <w:tcW w:w="232" w:type="pct"/>
            <w:vMerge/>
            <w:shd w:val="clear" w:color="auto" w:fill="auto"/>
            <w:tcMar>
              <w:left w:w="108" w:type="dxa"/>
            </w:tcMar>
            <w:vAlign w:val="center"/>
          </w:tcPr>
          <w:p w:rsidR="0032105B" w:rsidRPr="009E0EEB" w:rsidRDefault="0032105B" w:rsidP="00C81429">
            <w:pPr>
              <w:contextualSpacing/>
              <w:rPr>
                <w:sz w:val="16"/>
                <w:szCs w:val="16"/>
              </w:rPr>
            </w:pPr>
          </w:p>
        </w:tc>
        <w:tc>
          <w:tcPr>
            <w:tcW w:w="480" w:type="pct"/>
            <w:vMerge/>
          </w:tcPr>
          <w:p w:rsidR="0032105B" w:rsidRPr="009E0EEB" w:rsidRDefault="0032105B" w:rsidP="00C81429">
            <w:pPr>
              <w:contextualSpacing/>
              <w:jc w:val="center"/>
              <w:rPr>
                <w:b/>
                <w:sz w:val="16"/>
                <w:szCs w:val="16"/>
              </w:rPr>
            </w:pPr>
          </w:p>
        </w:tc>
        <w:tc>
          <w:tcPr>
            <w:tcW w:w="654" w:type="pct"/>
            <w:vMerge/>
          </w:tcPr>
          <w:p w:rsidR="0032105B" w:rsidRPr="009E0EEB" w:rsidRDefault="0032105B" w:rsidP="00C81429">
            <w:pPr>
              <w:contextualSpacing/>
              <w:jc w:val="center"/>
              <w:rPr>
                <w:b/>
                <w:sz w:val="16"/>
                <w:szCs w:val="16"/>
              </w:rPr>
            </w:pPr>
          </w:p>
        </w:tc>
        <w:tc>
          <w:tcPr>
            <w:tcW w:w="362" w:type="pct"/>
            <w:vMerge/>
            <w:shd w:val="clear" w:color="auto" w:fill="auto"/>
            <w:tcMar>
              <w:left w:w="108" w:type="dxa"/>
            </w:tcMar>
          </w:tcPr>
          <w:p w:rsidR="0032105B" w:rsidRPr="009E0EEB" w:rsidRDefault="0032105B" w:rsidP="00C81429">
            <w:pPr>
              <w:contextualSpacing/>
              <w:jc w:val="center"/>
              <w:rPr>
                <w:i/>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назначение</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реабилитация детей-инвалидов </w:t>
            </w:r>
          </w:p>
        </w:tc>
        <w:tc>
          <w:tcPr>
            <w:tcW w:w="509" w:type="pct"/>
            <w:vMerge/>
            <w:shd w:val="clear" w:color="auto" w:fill="auto"/>
            <w:tcMar>
              <w:left w:w="108" w:type="dxa"/>
            </w:tcMar>
          </w:tcPr>
          <w:p w:rsidR="0032105B" w:rsidRPr="009E0EEB" w:rsidRDefault="0032105B" w:rsidP="00C81429">
            <w:pPr>
              <w:jc w:val="center"/>
              <w:rPr>
                <w:sz w:val="16"/>
                <w:szCs w:val="16"/>
              </w:rPr>
            </w:pPr>
          </w:p>
        </w:tc>
      </w:tr>
      <w:tr w:rsidR="0032105B" w:rsidRPr="009E0EEB" w:rsidTr="00C81429">
        <w:trPr>
          <w:trHeight w:val="467"/>
        </w:trPr>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внутренний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proofErr w:type="spellStart"/>
            <w:r w:rsidRPr="009E0EEB">
              <w:rPr>
                <w:sz w:val="16"/>
                <w:szCs w:val="16"/>
              </w:rPr>
              <w:t>гипоаллергенный</w:t>
            </w:r>
            <w:proofErr w:type="spellEnd"/>
            <w:r w:rsidRPr="009E0EEB">
              <w:rPr>
                <w:sz w:val="16"/>
                <w:szCs w:val="16"/>
              </w:rPr>
              <w:t xml:space="preserve"> нетканый материал, пропускающий влагу в одном направлении</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впитывающий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распушенная целлюлоза с </w:t>
            </w:r>
            <w:proofErr w:type="spellStart"/>
            <w:r w:rsidRPr="009E0EEB">
              <w:rPr>
                <w:sz w:val="16"/>
                <w:szCs w:val="16"/>
              </w:rPr>
              <w:t>суперабсорбирующим</w:t>
            </w:r>
            <w:proofErr w:type="spellEnd"/>
            <w:r w:rsidRPr="009E0EEB">
              <w:rPr>
                <w:sz w:val="16"/>
                <w:szCs w:val="16"/>
              </w:rPr>
              <w:t xml:space="preserve"> полимером, превращающим жидкость в гель</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rPr>
          <w:trHeight w:val="353"/>
        </w:trPr>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внешний/нижний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не </w:t>
            </w:r>
            <w:proofErr w:type="gramStart"/>
            <w:r w:rsidRPr="009E0EEB">
              <w:rPr>
                <w:sz w:val="16"/>
                <w:szCs w:val="16"/>
              </w:rPr>
              <w:t>пропускающий</w:t>
            </w:r>
            <w:proofErr w:type="gramEnd"/>
            <w:r w:rsidRPr="009E0EEB">
              <w:rPr>
                <w:sz w:val="16"/>
                <w:szCs w:val="16"/>
              </w:rPr>
              <w:t xml:space="preserve"> влагу наружу, паропроницаемый</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защитные бортики/ барьеры по краям</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наличие</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многоразовые застежки</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наличие</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полное влагопоглощение, </w:t>
            </w:r>
            <w:proofErr w:type="gramStart"/>
            <w:r w:rsidRPr="009E0EEB">
              <w:rPr>
                <w:sz w:val="16"/>
                <w:szCs w:val="16"/>
              </w:rPr>
              <w:t>г</w:t>
            </w:r>
            <w:proofErr w:type="gramEnd"/>
            <w:r w:rsidRPr="009E0EEB">
              <w:rPr>
                <w:sz w:val="16"/>
                <w:szCs w:val="16"/>
              </w:rPr>
              <w:t>.</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не менее 240</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rPr>
          <w:trHeight w:val="417"/>
        </w:trPr>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размер подгузника </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для детей весом до 9 кг</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val="restart"/>
            <w:shd w:val="clear" w:color="auto" w:fill="auto"/>
            <w:tcMar>
              <w:left w:w="108" w:type="dxa"/>
            </w:tcMar>
          </w:tcPr>
          <w:p w:rsidR="0032105B" w:rsidRPr="009E0EEB" w:rsidRDefault="0032105B" w:rsidP="00C81429">
            <w:pPr>
              <w:contextualSpacing/>
              <w:jc w:val="center"/>
              <w:rPr>
                <w:sz w:val="16"/>
                <w:szCs w:val="16"/>
              </w:rPr>
            </w:pPr>
            <w:r w:rsidRPr="009E0EEB">
              <w:rPr>
                <w:sz w:val="16"/>
                <w:szCs w:val="16"/>
              </w:rPr>
              <w:t>2</w:t>
            </w:r>
          </w:p>
        </w:tc>
        <w:tc>
          <w:tcPr>
            <w:tcW w:w="480" w:type="pct"/>
            <w:vMerge w:val="restart"/>
          </w:tcPr>
          <w:p w:rsidR="0032105B" w:rsidRPr="009E0EEB" w:rsidRDefault="0032105B" w:rsidP="00C81429">
            <w:pPr>
              <w:contextualSpacing/>
              <w:jc w:val="center"/>
              <w:rPr>
                <w:bCs/>
                <w:sz w:val="16"/>
                <w:szCs w:val="16"/>
              </w:rPr>
            </w:pPr>
            <w:r w:rsidRPr="009E0EEB">
              <w:rPr>
                <w:bCs/>
                <w:sz w:val="16"/>
                <w:szCs w:val="16"/>
              </w:rPr>
              <w:t>Подгузники для детей весом до 20 кг</w:t>
            </w:r>
          </w:p>
        </w:tc>
        <w:tc>
          <w:tcPr>
            <w:tcW w:w="654" w:type="pct"/>
            <w:vMerge w:val="restart"/>
          </w:tcPr>
          <w:p w:rsidR="0032105B" w:rsidRPr="009E0EEB" w:rsidRDefault="0032105B" w:rsidP="00C81429">
            <w:pPr>
              <w:contextualSpacing/>
              <w:jc w:val="center"/>
              <w:rPr>
                <w:b/>
                <w:sz w:val="16"/>
                <w:szCs w:val="16"/>
              </w:rPr>
            </w:pPr>
            <w:r w:rsidRPr="009E0EEB">
              <w:rPr>
                <w:bCs/>
                <w:sz w:val="16"/>
                <w:szCs w:val="16"/>
              </w:rPr>
              <w:t>22-01-17 - Подгузники для детей весом до 20 кг</w:t>
            </w:r>
          </w:p>
        </w:tc>
        <w:tc>
          <w:tcPr>
            <w:tcW w:w="362" w:type="pct"/>
            <w:vMerge w:val="restart"/>
            <w:shd w:val="clear" w:color="auto" w:fill="auto"/>
            <w:tcMar>
              <w:left w:w="108" w:type="dxa"/>
            </w:tcMar>
          </w:tcPr>
          <w:p w:rsidR="0032105B" w:rsidRPr="009E0EEB" w:rsidRDefault="0032105B" w:rsidP="00C81429">
            <w:pPr>
              <w:contextualSpacing/>
              <w:jc w:val="center"/>
              <w:rPr>
                <w:sz w:val="16"/>
                <w:szCs w:val="16"/>
              </w:rPr>
            </w:pPr>
            <w:r w:rsidRPr="009E0EEB">
              <w:rPr>
                <w:sz w:val="16"/>
                <w:szCs w:val="16"/>
              </w:rPr>
              <w:t>01.28.22.01.17</w:t>
            </w:r>
          </w:p>
        </w:tc>
        <w:tc>
          <w:tcPr>
            <w:tcW w:w="436" w:type="pct"/>
            <w:vMerge w:val="restart"/>
          </w:tcPr>
          <w:p w:rsidR="0032105B" w:rsidRPr="009E0EEB" w:rsidRDefault="0032105B" w:rsidP="00C81429">
            <w:pPr>
              <w:contextualSpacing/>
              <w:jc w:val="center"/>
              <w:rPr>
                <w:b/>
                <w:sz w:val="16"/>
                <w:szCs w:val="16"/>
              </w:rPr>
            </w:pPr>
            <w:r w:rsidRPr="009E0EEB">
              <w:rPr>
                <w:sz w:val="16"/>
                <w:szCs w:val="16"/>
              </w:rPr>
              <w:t>17.22</w:t>
            </w:r>
            <w:r w:rsidRPr="009E0EEB">
              <w:rPr>
                <w:rStyle w:val="60"/>
                <w:szCs w:val="16"/>
              </w:rPr>
              <w:t>.12.120.120-00000001 Подгузники детские</w:t>
            </w:r>
          </w:p>
        </w:tc>
        <w:tc>
          <w:tcPr>
            <w:tcW w:w="2327" w:type="pct"/>
            <w:gridSpan w:val="2"/>
            <w:shd w:val="clear" w:color="auto" w:fill="auto"/>
            <w:tcMar>
              <w:left w:w="108" w:type="dxa"/>
            </w:tcMar>
          </w:tcPr>
          <w:p w:rsidR="0032105B" w:rsidRPr="009E0EEB" w:rsidRDefault="0032105B" w:rsidP="00C81429">
            <w:pPr>
              <w:contextualSpacing/>
              <w:jc w:val="center"/>
              <w:rPr>
                <w:sz w:val="16"/>
                <w:szCs w:val="16"/>
              </w:rPr>
            </w:pPr>
            <w:r w:rsidRPr="009E0EEB">
              <w:rPr>
                <w:b/>
                <w:sz w:val="16"/>
                <w:szCs w:val="16"/>
              </w:rPr>
              <w:t xml:space="preserve">Дополнительные характеристики </w:t>
            </w:r>
            <w:r w:rsidRPr="009E0EEB">
              <w:rPr>
                <w:sz w:val="16"/>
                <w:szCs w:val="16"/>
              </w:rPr>
              <w:t>(Применяются в связи с отсутствием технических характеристик для данного КТРУ и необходимостью применения приказа 86н от 13.02.2018 г.)</w:t>
            </w:r>
          </w:p>
        </w:tc>
        <w:tc>
          <w:tcPr>
            <w:tcW w:w="509" w:type="pct"/>
            <w:vMerge w:val="restart"/>
            <w:shd w:val="clear" w:color="auto" w:fill="auto"/>
            <w:tcMar>
              <w:left w:w="108" w:type="dxa"/>
            </w:tcMar>
          </w:tcPr>
          <w:p w:rsidR="0032105B" w:rsidRPr="009E0EEB" w:rsidRDefault="0032105B" w:rsidP="00C81429">
            <w:pPr>
              <w:jc w:val="center"/>
              <w:rPr>
                <w:sz w:val="16"/>
                <w:szCs w:val="16"/>
              </w:rPr>
            </w:pPr>
            <w:r w:rsidRPr="009E0EEB">
              <w:rPr>
                <w:sz w:val="16"/>
                <w:szCs w:val="16"/>
              </w:rPr>
              <w:t>12,22</w:t>
            </w:r>
          </w:p>
        </w:tc>
      </w:tr>
      <w:tr w:rsidR="0032105B" w:rsidRPr="009E0EEB" w:rsidTr="00C81429">
        <w:tc>
          <w:tcPr>
            <w:tcW w:w="232" w:type="pct"/>
            <w:vMerge/>
            <w:shd w:val="clear" w:color="auto" w:fill="auto"/>
            <w:tcMar>
              <w:left w:w="108" w:type="dxa"/>
            </w:tcMar>
          </w:tcPr>
          <w:p w:rsidR="0032105B" w:rsidRPr="009E0EEB" w:rsidRDefault="0032105B" w:rsidP="00C81429">
            <w:pPr>
              <w:contextualSpacing/>
              <w:jc w:val="center"/>
              <w:rPr>
                <w:sz w:val="16"/>
                <w:szCs w:val="16"/>
              </w:rPr>
            </w:pPr>
          </w:p>
        </w:tc>
        <w:tc>
          <w:tcPr>
            <w:tcW w:w="480" w:type="pct"/>
            <w:vMerge/>
          </w:tcPr>
          <w:p w:rsidR="0032105B" w:rsidRPr="009E0EEB" w:rsidRDefault="0032105B" w:rsidP="00C81429">
            <w:pPr>
              <w:contextualSpacing/>
              <w:jc w:val="center"/>
              <w:rPr>
                <w:bCs/>
                <w:sz w:val="16"/>
                <w:szCs w:val="16"/>
              </w:rPr>
            </w:pPr>
          </w:p>
        </w:tc>
        <w:tc>
          <w:tcPr>
            <w:tcW w:w="654" w:type="pct"/>
            <w:vMerge/>
          </w:tcPr>
          <w:p w:rsidR="0032105B" w:rsidRPr="009E0EEB" w:rsidRDefault="0032105B" w:rsidP="00C81429">
            <w:pPr>
              <w:contextualSpacing/>
              <w:jc w:val="center"/>
              <w:rPr>
                <w:bCs/>
                <w:sz w:val="16"/>
                <w:szCs w:val="16"/>
              </w:rPr>
            </w:pPr>
          </w:p>
        </w:tc>
        <w:tc>
          <w:tcPr>
            <w:tcW w:w="362" w:type="pct"/>
            <w:vMerge/>
            <w:shd w:val="clear" w:color="auto" w:fill="auto"/>
            <w:tcMar>
              <w:left w:w="108" w:type="dxa"/>
            </w:tcMar>
          </w:tcPr>
          <w:p w:rsidR="0032105B" w:rsidRPr="009E0EEB" w:rsidRDefault="0032105B" w:rsidP="00C81429">
            <w:pPr>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назначение</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реабилитация детей-инвалидов</w:t>
            </w:r>
          </w:p>
        </w:tc>
        <w:tc>
          <w:tcPr>
            <w:tcW w:w="509" w:type="pct"/>
            <w:vMerge/>
            <w:shd w:val="clear" w:color="auto" w:fill="auto"/>
            <w:tcMar>
              <w:left w:w="108" w:type="dxa"/>
            </w:tcMar>
          </w:tcPr>
          <w:p w:rsidR="0032105B" w:rsidRPr="009E0EEB" w:rsidRDefault="0032105B" w:rsidP="00C81429">
            <w:pPr>
              <w:jc w:val="center"/>
              <w:rPr>
                <w:sz w:val="16"/>
                <w:szCs w:val="16"/>
              </w:rPr>
            </w:pPr>
          </w:p>
        </w:tc>
      </w:tr>
      <w:tr w:rsidR="0032105B" w:rsidRPr="009E0EEB" w:rsidTr="00C81429">
        <w:tc>
          <w:tcPr>
            <w:tcW w:w="232" w:type="pct"/>
            <w:vMerge/>
            <w:shd w:val="clear" w:color="auto" w:fill="auto"/>
            <w:tcMar>
              <w:left w:w="108" w:type="dxa"/>
            </w:tcMar>
          </w:tcPr>
          <w:p w:rsidR="0032105B" w:rsidRPr="009E0EEB" w:rsidRDefault="0032105B" w:rsidP="00C81429">
            <w:pPr>
              <w:contextualSpacing/>
              <w:jc w:val="center"/>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внутренний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proofErr w:type="spellStart"/>
            <w:r w:rsidRPr="009E0EEB">
              <w:rPr>
                <w:sz w:val="16"/>
                <w:szCs w:val="16"/>
              </w:rPr>
              <w:t>гипоаллергенный</w:t>
            </w:r>
            <w:proofErr w:type="spellEnd"/>
            <w:r w:rsidRPr="009E0EEB">
              <w:rPr>
                <w:sz w:val="16"/>
                <w:szCs w:val="16"/>
              </w:rPr>
              <w:t xml:space="preserve"> нетканый материал, пропускающий влагу в одном направлении</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tcPr>
          <w:p w:rsidR="0032105B" w:rsidRPr="009E0EEB" w:rsidRDefault="0032105B" w:rsidP="00C81429">
            <w:pPr>
              <w:contextualSpacing/>
              <w:jc w:val="center"/>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впитывающий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распушенная целлюлоза с </w:t>
            </w:r>
            <w:proofErr w:type="spellStart"/>
            <w:r w:rsidRPr="009E0EEB">
              <w:rPr>
                <w:sz w:val="16"/>
                <w:szCs w:val="16"/>
              </w:rPr>
              <w:t>суперабсорбирующим</w:t>
            </w:r>
            <w:proofErr w:type="spellEnd"/>
            <w:r w:rsidRPr="009E0EEB">
              <w:rPr>
                <w:sz w:val="16"/>
                <w:szCs w:val="16"/>
              </w:rPr>
              <w:t xml:space="preserve"> полимером, превращающим жидкость в гель</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rPr>
          <w:trHeight w:val="516"/>
        </w:trPr>
        <w:tc>
          <w:tcPr>
            <w:tcW w:w="232" w:type="pct"/>
            <w:vMerge/>
            <w:shd w:val="clear" w:color="auto" w:fill="auto"/>
            <w:tcMar>
              <w:left w:w="108" w:type="dxa"/>
            </w:tcMar>
          </w:tcPr>
          <w:p w:rsidR="0032105B" w:rsidRPr="009E0EEB" w:rsidRDefault="0032105B" w:rsidP="00C81429">
            <w:pPr>
              <w:contextualSpacing/>
              <w:jc w:val="center"/>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внешний/нижний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не </w:t>
            </w:r>
            <w:proofErr w:type="gramStart"/>
            <w:r w:rsidRPr="009E0EEB">
              <w:rPr>
                <w:sz w:val="16"/>
                <w:szCs w:val="16"/>
              </w:rPr>
              <w:t>пропускающий</w:t>
            </w:r>
            <w:proofErr w:type="gramEnd"/>
            <w:r w:rsidRPr="009E0EEB">
              <w:rPr>
                <w:sz w:val="16"/>
                <w:szCs w:val="16"/>
              </w:rPr>
              <w:t xml:space="preserve"> влагу наружу, паропроницаемый</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tcPr>
          <w:p w:rsidR="0032105B" w:rsidRPr="009E0EEB" w:rsidRDefault="0032105B" w:rsidP="00C81429">
            <w:pPr>
              <w:contextualSpacing/>
              <w:jc w:val="center"/>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защитные бортики/ барьеры по краям</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наличие</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tcPr>
          <w:p w:rsidR="0032105B" w:rsidRPr="009E0EEB" w:rsidRDefault="0032105B" w:rsidP="00C81429">
            <w:pPr>
              <w:contextualSpacing/>
              <w:jc w:val="center"/>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многоразовые застежки</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наличие</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tcPr>
          <w:p w:rsidR="0032105B" w:rsidRPr="009E0EEB" w:rsidRDefault="0032105B" w:rsidP="00C81429">
            <w:pPr>
              <w:contextualSpacing/>
              <w:jc w:val="center"/>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полное влагопоглощение, </w:t>
            </w:r>
            <w:proofErr w:type="gramStart"/>
            <w:r w:rsidRPr="009E0EEB">
              <w:rPr>
                <w:sz w:val="16"/>
                <w:szCs w:val="16"/>
              </w:rPr>
              <w:t>г</w:t>
            </w:r>
            <w:proofErr w:type="gramEnd"/>
            <w:r w:rsidRPr="009E0EEB">
              <w:rPr>
                <w:sz w:val="16"/>
                <w:szCs w:val="16"/>
              </w:rPr>
              <w:t>.</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не менее 270</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shd w:val="clear" w:color="auto" w:fill="auto"/>
            <w:tcMar>
              <w:left w:w="108" w:type="dxa"/>
            </w:tcMar>
          </w:tcPr>
          <w:p w:rsidR="0032105B" w:rsidRPr="009E0EEB" w:rsidRDefault="0032105B" w:rsidP="00C81429">
            <w:pPr>
              <w:contextualSpacing/>
              <w:jc w:val="center"/>
              <w:rPr>
                <w:b/>
                <w:sz w:val="16"/>
                <w:szCs w:val="16"/>
              </w:rPr>
            </w:pPr>
          </w:p>
        </w:tc>
        <w:tc>
          <w:tcPr>
            <w:tcW w:w="480" w:type="pct"/>
            <w:vMerge/>
          </w:tcPr>
          <w:p w:rsidR="0032105B" w:rsidRPr="009E0EEB" w:rsidRDefault="0032105B" w:rsidP="00C81429">
            <w:pPr>
              <w:ind w:firstLine="360"/>
              <w:contextualSpacing/>
              <w:jc w:val="center"/>
              <w:rPr>
                <w:b/>
                <w:sz w:val="16"/>
                <w:szCs w:val="16"/>
              </w:rPr>
            </w:pPr>
          </w:p>
        </w:tc>
        <w:tc>
          <w:tcPr>
            <w:tcW w:w="654" w:type="pct"/>
            <w:vMerge/>
          </w:tcPr>
          <w:p w:rsidR="0032105B" w:rsidRPr="009E0EEB" w:rsidRDefault="0032105B" w:rsidP="00C81429">
            <w:pPr>
              <w:ind w:firstLine="360"/>
              <w:contextualSpacing/>
              <w:jc w:val="center"/>
              <w:rPr>
                <w:b/>
                <w:sz w:val="16"/>
                <w:szCs w:val="16"/>
              </w:rPr>
            </w:pPr>
          </w:p>
        </w:tc>
        <w:tc>
          <w:tcPr>
            <w:tcW w:w="362" w:type="pct"/>
            <w:vMerge/>
            <w:shd w:val="clear" w:color="auto" w:fill="auto"/>
            <w:tcMar>
              <w:left w:w="108" w:type="dxa"/>
            </w:tcMar>
          </w:tcPr>
          <w:p w:rsidR="0032105B" w:rsidRPr="009E0EEB" w:rsidRDefault="0032105B" w:rsidP="00C81429">
            <w:pPr>
              <w:ind w:firstLine="360"/>
              <w:contextualSpacing/>
              <w:jc w:val="center"/>
              <w:rPr>
                <w:b/>
                <w:sz w:val="16"/>
                <w:szCs w:val="16"/>
              </w:rPr>
            </w:pPr>
          </w:p>
        </w:tc>
        <w:tc>
          <w:tcPr>
            <w:tcW w:w="436" w:type="pct"/>
            <w:vMerge/>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размер подгузника </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для детей весом до 20 кг (при этом должны быть поставлены изделия двух размеров</w:t>
            </w:r>
            <w:r w:rsidRPr="009E0EEB">
              <w:t xml:space="preserve"> </w:t>
            </w:r>
            <w:r w:rsidRPr="009E0EEB">
              <w:rPr>
                <w:sz w:val="16"/>
                <w:szCs w:val="16"/>
              </w:rPr>
              <w:t>в соответствии с национальной и/или международной практикой: для детей весом</w:t>
            </w:r>
            <w:r w:rsidRPr="009E0EEB">
              <w:rPr>
                <w:b/>
                <w:sz w:val="16"/>
                <w:szCs w:val="16"/>
              </w:rPr>
              <w:t xml:space="preserve"> от 7 до 18 кг, от 11 до 25 кг)</w:t>
            </w:r>
          </w:p>
        </w:tc>
        <w:tc>
          <w:tcPr>
            <w:tcW w:w="509" w:type="pct"/>
            <w:vMerge/>
            <w:shd w:val="clear" w:color="auto" w:fill="auto"/>
            <w:tcMar>
              <w:left w:w="108" w:type="dxa"/>
            </w:tcMar>
          </w:tcPr>
          <w:p w:rsidR="0032105B" w:rsidRPr="009E0EEB" w:rsidRDefault="0032105B" w:rsidP="00C81429">
            <w:pPr>
              <w:contextualSpacing/>
              <w:jc w:val="center"/>
              <w:rPr>
                <w:i/>
                <w:sz w:val="16"/>
                <w:szCs w:val="16"/>
              </w:rPr>
            </w:pPr>
          </w:p>
        </w:tc>
      </w:tr>
      <w:tr w:rsidR="0032105B" w:rsidRPr="009E0EEB" w:rsidTr="00C81429">
        <w:tc>
          <w:tcPr>
            <w:tcW w:w="232" w:type="pct"/>
            <w:vMerge w:val="restart"/>
            <w:shd w:val="clear" w:color="auto" w:fill="auto"/>
            <w:tcMar>
              <w:left w:w="108" w:type="dxa"/>
            </w:tcMar>
          </w:tcPr>
          <w:p w:rsidR="0032105B" w:rsidRPr="009E0EEB" w:rsidRDefault="0032105B" w:rsidP="00C81429">
            <w:pPr>
              <w:contextualSpacing/>
              <w:jc w:val="center"/>
              <w:rPr>
                <w:sz w:val="16"/>
                <w:szCs w:val="16"/>
              </w:rPr>
            </w:pPr>
            <w:r w:rsidRPr="009E0EEB">
              <w:rPr>
                <w:sz w:val="16"/>
                <w:szCs w:val="16"/>
              </w:rPr>
              <w:t>3</w:t>
            </w:r>
          </w:p>
        </w:tc>
        <w:tc>
          <w:tcPr>
            <w:tcW w:w="480" w:type="pct"/>
            <w:vMerge w:val="restart"/>
          </w:tcPr>
          <w:p w:rsidR="0032105B" w:rsidRPr="009E0EEB" w:rsidRDefault="0032105B" w:rsidP="00C81429">
            <w:pPr>
              <w:contextualSpacing/>
              <w:jc w:val="center"/>
              <w:rPr>
                <w:bCs/>
                <w:sz w:val="16"/>
                <w:szCs w:val="16"/>
              </w:rPr>
            </w:pPr>
            <w:r w:rsidRPr="009E0EEB">
              <w:rPr>
                <w:bCs/>
                <w:sz w:val="16"/>
                <w:szCs w:val="16"/>
              </w:rPr>
              <w:t>Подгузники для детей весом</w:t>
            </w:r>
          </w:p>
          <w:p w:rsidR="0032105B" w:rsidRPr="009E0EEB" w:rsidRDefault="0032105B" w:rsidP="00C81429">
            <w:pPr>
              <w:contextualSpacing/>
              <w:jc w:val="center"/>
              <w:rPr>
                <w:bCs/>
                <w:sz w:val="16"/>
                <w:szCs w:val="16"/>
              </w:rPr>
            </w:pPr>
            <w:r w:rsidRPr="009E0EEB">
              <w:rPr>
                <w:bCs/>
                <w:sz w:val="16"/>
                <w:szCs w:val="16"/>
              </w:rPr>
              <w:t>свыше 20 кг</w:t>
            </w:r>
          </w:p>
        </w:tc>
        <w:tc>
          <w:tcPr>
            <w:tcW w:w="654" w:type="pct"/>
            <w:vMerge w:val="restart"/>
          </w:tcPr>
          <w:p w:rsidR="0032105B" w:rsidRPr="009E0EEB" w:rsidRDefault="0032105B" w:rsidP="00C81429">
            <w:pPr>
              <w:ind w:hanging="36"/>
              <w:contextualSpacing/>
              <w:jc w:val="center"/>
              <w:rPr>
                <w:bCs/>
                <w:sz w:val="16"/>
                <w:szCs w:val="16"/>
              </w:rPr>
            </w:pPr>
            <w:r w:rsidRPr="009E0EEB">
              <w:rPr>
                <w:bCs/>
                <w:sz w:val="16"/>
                <w:szCs w:val="16"/>
              </w:rPr>
              <w:t>22-01-18 - Подгузники для детей весом</w:t>
            </w:r>
          </w:p>
          <w:p w:rsidR="0032105B" w:rsidRPr="009E0EEB" w:rsidRDefault="0032105B" w:rsidP="00C81429">
            <w:pPr>
              <w:ind w:hanging="36"/>
              <w:contextualSpacing/>
              <w:jc w:val="center"/>
              <w:rPr>
                <w:b/>
                <w:sz w:val="16"/>
                <w:szCs w:val="16"/>
              </w:rPr>
            </w:pPr>
            <w:r w:rsidRPr="009E0EEB">
              <w:rPr>
                <w:bCs/>
                <w:sz w:val="16"/>
                <w:szCs w:val="16"/>
              </w:rPr>
              <w:t>свыше 20 кг</w:t>
            </w:r>
          </w:p>
        </w:tc>
        <w:tc>
          <w:tcPr>
            <w:tcW w:w="362" w:type="pct"/>
            <w:vMerge w:val="restart"/>
            <w:shd w:val="clear" w:color="auto" w:fill="auto"/>
            <w:tcMar>
              <w:left w:w="108" w:type="dxa"/>
            </w:tcMar>
          </w:tcPr>
          <w:p w:rsidR="0032105B" w:rsidRPr="009E0EEB" w:rsidRDefault="0032105B" w:rsidP="00C81429">
            <w:pPr>
              <w:contextualSpacing/>
              <w:jc w:val="center"/>
              <w:rPr>
                <w:sz w:val="16"/>
                <w:szCs w:val="16"/>
              </w:rPr>
            </w:pPr>
            <w:r w:rsidRPr="009E0EEB">
              <w:rPr>
                <w:sz w:val="16"/>
                <w:szCs w:val="16"/>
              </w:rPr>
              <w:t>01.28.22.01.18</w:t>
            </w:r>
          </w:p>
        </w:tc>
        <w:tc>
          <w:tcPr>
            <w:tcW w:w="436" w:type="pct"/>
            <w:vMerge w:val="restart"/>
          </w:tcPr>
          <w:p w:rsidR="0032105B" w:rsidRPr="009E0EEB" w:rsidRDefault="0032105B" w:rsidP="00C81429">
            <w:pPr>
              <w:contextualSpacing/>
              <w:jc w:val="center"/>
              <w:rPr>
                <w:sz w:val="16"/>
                <w:szCs w:val="16"/>
              </w:rPr>
            </w:pPr>
            <w:r w:rsidRPr="009E0EEB">
              <w:rPr>
                <w:sz w:val="16"/>
                <w:szCs w:val="16"/>
              </w:rPr>
              <w:t>17.22.12.120.120-00000001</w:t>
            </w:r>
            <w:r w:rsidRPr="009E0EEB">
              <w:rPr>
                <w:b/>
                <w:sz w:val="16"/>
                <w:szCs w:val="16"/>
              </w:rPr>
              <w:t xml:space="preserve"> </w:t>
            </w:r>
            <w:r w:rsidRPr="009E0EEB">
              <w:rPr>
                <w:sz w:val="16"/>
                <w:szCs w:val="16"/>
              </w:rPr>
              <w:t>Подгузники детские</w:t>
            </w:r>
          </w:p>
        </w:tc>
        <w:tc>
          <w:tcPr>
            <w:tcW w:w="2327" w:type="pct"/>
            <w:gridSpan w:val="2"/>
            <w:shd w:val="clear" w:color="auto" w:fill="auto"/>
            <w:tcMar>
              <w:left w:w="108" w:type="dxa"/>
            </w:tcMar>
          </w:tcPr>
          <w:p w:rsidR="0032105B" w:rsidRPr="009E0EEB" w:rsidRDefault="0032105B" w:rsidP="00C81429">
            <w:pPr>
              <w:contextualSpacing/>
              <w:jc w:val="center"/>
              <w:rPr>
                <w:sz w:val="16"/>
                <w:szCs w:val="16"/>
              </w:rPr>
            </w:pPr>
            <w:r w:rsidRPr="009E0EEB">
              <w:rPr>
                <w:b/>
                <w:sz w:val="16"/>
                <w:szCs w:val="16"/>
              </w:rPr>
              <w:t xml:space="preserve">Дополнительные характеристики </w:t>
            </w:r>
            <w:r w:rsidRPr="009E0EEB">
              <w:rPr>
                <w:sz w:val="16"/>
                <w:szCs w:val="16"/>
              </w:rPr>
              <w:t>(Применяются в связи с отсутствием технических характеристик для данного КТРУ и необходимостью применения приказа 86н от 13.02.2018 г.)</w:t>
            </w:r>
          </w:p>
        </w:tc>
        <w:tc>
          <w:tcPr>
            <w:tcW w:w="509" w:type="pct"/>
            <w:vMerge w:val="restart"/>
            <w:shd w:val="clear" w:color="auto" w:fill="auto"/>
            <w:tcMar>
              <w:left w:w="108" w:type="dxa"/>
            </w:tcMar>
          </w:tcPr>
          <w:p w:rsidR="0032105B" w:rsidRPr="009E0EEB" w:rsidRDefault="0032105B" w:rsidP="00C81429">
            <w:pPr>
              <w:contextualSpacing/>
              <w:jc w:val="center"/>
              <w:rPr>
                <w:sz w:val="16"/>
                <w:szCs w:val="16"/>
              </w:rPr>
            </w:pPr>
            <w:r w:rsidRPr="009E0EEB">
              <w:rPr>
                <w:sz w:val="16"/>
                <w:szCs w:val="16"/>
              </w:rPr>
              <w:t>14,33</w:t>
            </w: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sz w:val="16"/>
                <w:szCs w:val="16"/>
              </w:rPr>
            </w:pPr>
          </w:p>
        </w:tc>
        <w:tc>
          <w:tcPr>
            <w:tcW w:w="480" w:type="pct"/>
            <w:vMerge/>
          </w:tcPr>
          <w:p w:rsidR="0032105B" w:rsidRPr="009E0EEB" w:rsidRDefault="0032105B" w:rsidP="00C81429">
            <w:pPr>
              <w:ind w:firstLine="360"/>
              <w:contextualSpacing/>
              <w:rPr>
                <w:bCs/>
                <w:sz w:val="18"/>
                <w:szCs w:val="18"/>
              </w:rPr>
            </w:pPr>
          </w:p>
        </w:tc>
        <w:tc>
          <w:tcPr>
            <w:tcW w:w="654" w:type="pct"/>
            <w:vMerge/>
          </w:tcPr>
          <w:p w:rsidR="0032105B" w:rsidRPr="009E0EEB" w:rsidRDefault="0032105B" w:rsidP="00C81429">
            <w:pPr>
              <w:ind w:firstLine="360"/>
              <w:contextualSpacing/>
              <w:rPr>
                <w:bCs/>
                <w:sz w:val="18"/>
                <w:szCs w:val="18"/>
              </w:rPr>
            </w:pPr>
          </w:p>
        </w:tc>
        <w:tc>
          <w:tcPr>
            <w:tcW w:w="362" w:type="pct"/>
            <w:vMerge/>
            <w:shd w:val="clear" w:color="auto" w:fill="auto"/>
            <w:tcMar>
              <w:left w:w="108" w:type="dxa"/>
            </w:tcMar>
            <w:vAlign w:val="center"/>
          </w:tcPr>
          <w:p w:rsidR="0032105B" w:rsidRPr="009E0EEB" w:rsidRDefault="0032105B" w:rsidP="00C81429">
            <w:pPr>
              <w:contextualSpacing/>
              <w:rPr>
                <w:b/>
                <w:sz w:val="16"/>
                <w:szCs w:val="16"/>
              </w:rPr>
            </w:pPr>
          </w:p>
        </w:tc>
        <w:tc>
          <w:tcPr>
            <w:tcW w:w="436" w:type="pct"/>
            <w:vMerge/>
            <w:vAlign w:val="center"/>
          </w:tcPr>
          <w:p w:rsidR="0032105B" w:rsidRPr="009E0EEB" w:rsidRDefault="0032105B" w:rsidP="00C81429">
            <w:pPr>
              <w:contextualSpacing/>
              <w:jc w:val="center"/>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назначение</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реабилитация детей-инвалидов</w:t>
            </w:r>
          </w:p>
        </w:tc>
        <w:tc>
          <w:tcPr>
            <w:tcW w:w="509" w:type="pct"/>
            <w:vMerge/>
            <w:shd w:val="clear" w:color="auto" w:fill="auto"/>
            <w:tcMar>
              <w:left w:w="108" w:type="dxa"/>
            </w:tcMar>
            <w:vAlign w:val="center"/>
          </w:tcPr>
          <w:p w:rsidR="0032105B" w:rsidRPr="009E0EEB" w:rsidRDefault="0032105B" w:rsidP="00C81429">
            <w:pPr>
              <w:contextualSpacing/>
              <w:jc w:val="center"/>
              <w:rPr>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rPr>
                <w:b/>
                <w:sz w:val="16"/>
                <w:szCs w:val="16"/>
              </w:rPr>
            </w:pPr>
          </w:p>
        </w:tc>
        <w:tc>
          <w:tcPr>
            <w:tcW w:w="654" w:type="pct"/>
            <w:vMerge/>
          </w:tcPr>
          <w:p w:rsidR="0032105B" w:rsidRPr="009E0EEB" w:rsidRDefault="0032105B" w:rsidP="00C81429">
            <w:pPr>
              <w:ind w:firstLine="360"/>
              <w:contextualSpacing/>
              <w:rPr>
                <w:b/>
                <w:sz w:val="16"/>
                <w:szCs w:val="16"/>
              </w:rPr>
            </w:pPr>
          </w:p>
        </w:tc>
        <w:tc>
          <w:tcPr>
            <w:tcW w:w="362" w:type="pct"/>
            <w:vMerge/>
            <w:shd w:val="clear" w:color="auto" w:fill="auto"/>
            <w:tcMar>
              <w:left w:w="108" w:type="dxa"/>
            </w:tcMar>
            <w:vAlign w:val="center"/>
          </w:tcPr>
          <w:p w:rsidR="0032105B" w:rsidRPr="009E0EEB" w:rsidRDefault="0032105B" w:rsidP="00C81429">
            <w:pPr>
              <w:ind w:firstLine="360"/>
              <w:contextualSpacing/>
              <w:rPr>
                <w:b/>
                <w:sz w:val="16"/>
                <w:szCs w:val="16"/>
              </w:rPr>
            </w:pPr>
          </w:p>
        </w:tc>
        <w:tc>
          <w:tcPr>
            <w:tcW w:w="436" w:type="pct"/>
            <w:vMerge/>
          </w:tcPr>
          <w:p w:rsidR="0032105B" w:rsidRPr="009E0EEB" w:rsidRDefault="0032105B" w:rsidP="00C81429">
            <w:pPr>
              <w:contextualSpacing/>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внутренний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proofErr w:type="spellStart"/>
            <w:r w:rsidRPr="009E0EEB">
              <w:rPr>
                <w:sz w:val="16"/>
                <w:szCs w:val="16"/>
              </w:rPr>
              <w:t>гипоаллергенный</w:t>
            </w:r>
            <w:proofErr w:type="spellEnd"/>
            <w:r w:rsidRPr="009E0EEB">
              <w:rPr>
                <w:sz w:val="16"/>
                <w:szCs w:val="16"/>
              </w:rPr>
              <w:t xml:space="preserve"> нетканый материал, пропускающий влагу в одном направлении</w:t>
            </w:r>
          </w:p>
        </w:tc>
        <w:tc>
          <w:tcPr>
            <w:tcW w:w="509" w:type="pct"/>
            <w:vMerge/>
            <w:shd w:val="clear" w:color="auto" w:fill="auto"/>
            <w:tcMar>
              <w:left w:w="108" w:type="dxa"/>
            </w:tcMar>
            <w:vAlign w:val="center"/>
          </w:tcPr>
          <w:p w:rsidR="0032105B" w:rsidRPr="009E0EEB" w:rsidRDefault="0032105B" w:rsidP="00C81429">
            <w:pPr>
              <w:contextualSpacing/>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rPr>
                <w:b/>
                <w:sz w:val="16"/>
                <w:szCs w:val="16"/>
              </w:rPr>
            </w:pPr>
          </w:p>
        </w:tc>
        <w:tc>
          <w:tcPr>
            <w:tcW w:w="654" w:type="pct"/>
            <w:vMerge/>
          </w:tcPr>
          <w:p w:rsidR="0032105B" w:rsidRPr="009E0EEB" w:rsidRDefault="0032105B" w:rsidP="00C81429">
            <w:pPr>
              <w:ind w:firstLine="360"/>
              <w:contextualSpacing/>
              <w:rPr>
                <w:b/>
                <w:sz w:val="16"/>
                <w:szCs w:val="16"/>
              </w:rPr>
            </w:pPr>
          </w:p>
        </w:tc>
        <w:tc>
          <w:tcPr>
            <w:tcW w:w="362" w:type="pct"/>
            <w:vMerge/>
            <w:shd w:val="clear" w:color="auto" w:fill="auto"/>
            <w:tcMar>
              <w:left w:w="108" w:type="dxa"/>
            </w:tcMar>
            <w:vAlign w:val="center"/>
          </w:tcPr>
          <w:p w:rsidR="0032105B" w:rsidRPr="009E0EEB" w:rsidRDefault="0032105B" w:rsidP="00C81429">
            <w:pPr>
              <w:ind w:firstLine="360"/>
              <w:contextualSpacing/>
              <w:rPr>
                <w:b/>
                <w:sz w:val="16"/>
                <w:szCs w:val="16"/>
              </w:rPr>
            </w:pPr>
          </w:p>
        </w:tc>
        <w:tc>
          <w:tcPr>
            <w:tcW w:w="436" w:type="pct"/>
            <w:vMerge/>
          </w:tcPr>
          <w:p w:rsidR="0032105B" w:rsidRPr="009E0EEB" w:rsidRDefault="0032105B" w:rsidP="00C81429">
            <w:pPr>
              <w:contextualSpacing/>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впитывающий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распушенная целлюлоза с </w:t>
            </w:r>
            <w:proofErr w:type="spellStart"/>
            <w:r w:rsidRPr="009E0EEB">
              <w:rPr>
                <w:sz w:val="16"/>
                <w:szCs w:val="16"/>
              </w:rPr>
              <w:t>суперабсорбирующим</w:t>
            </w:r>
            <w:proofErr w:type="spellEnd"/>
            <w:r w:rsidRPr="009E0EEB">
              <w:rPr>
                <w:sz w:val="16"/>
                <w:szCs w:val="16"/>
              </w:rPr>
              <w:t xml:space="preserve"> полимером, превращающим </w:t>
            </w:r>
            <w:r w:rsidRPr="009E0EEB">
              <w:rPr>
                <w:sz w:val="16"/>
                <w:szCs w:val="16"/>
              </w:rPr>
              <w:lastRenderedPageBreak/>
              <w:t>жидкость в гель</w:t>
            </w:r>
          </w:p>
        </w:tc>
        <w:tc>
          <w:tcPr>
            <w:tcW w:w="509" w:type="pct"/>
            <w:vMerge/>
            <w:shd w:val="clear" w:color="auto" w:fill="auto"/>
            <w:tcMar>
              <w:left w:w="108" w:type="dxa"/>
            </w:tcMar>
            <w:vAlign w:val="center"/>
          </w:tcPr>
          <w:p w:rsidR="0032105B" w:rsidRPr="009E0EEB" w:rsidRDefault="0032105B" w:rsidP="00C81429">
            <w:pPr>
              <w:contextualSpacing/>
              <w:rPr>
                <w:i/>
                <w:sz w:val="16"/>
                <w:szCs w:val="16"/>
              </w:rPr>
            </w:pPr>
          </w:p>
        </w:tc>
      </w:tr>
      <w:tr w:rsidR="0032105B" w:rsidRPr="009E0EEB" w:rsidTr="00C81429">
        <w:trPr>
          <w:trHeight w:val="516"/>
        </w:trPr>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rPr>
                <w:b/>
                <w:sz w:val="16"/>
                <w:szCs w:val="16"/>
              </w:rPr>
            </w:pPr>
          </w:p>
        </w:tc>
        <w:tc>
          <w:tcPr>
            <w:tcW w:w="654" w:type="pct"/>
            <w:vMerge/>
          </w:tcPr>
          <w:p w:rsidR="0032105B" w:rsidRPr="009E0EEB" w:rsidRDefault="0032105B" w:rsidP="00C81429">
            <w:pPr>
              <w:ind w:firstLine="360"/>
              <w:contextualSpacing/>
              <w:rPr>
                <w:b/>
                <w:sz w:val="16"/>
                <w:szCs w:val="16"/>
              </w:rPr>
            </w:pPr>
          </w:p>
        </w:tc>
        <w:tc>
          <w:tcPr>
            <w:tcW w:w="362" w:type="pct"/>
            <w:vMerge/>
            <w:shd w:val="clear" w:color="auto" w:fill="auto"/>
            <w:tcMar>
              <w:left w:w="108" w:type="dxa"/>
            </w:tcMar>
            <w:vAlign w:val="center"/>
          </w:tcPr>
          <w:p w:rsidR="0032105B" w:rsidRPr="009E0EEB" w:rsidRDefault="0032105B" w:rsidP="00C81429">
            <w:pPr>
              <w:ind w:firstLine="360"/>
              <w:contextualSpacing/>
              <w:rPr>
                <w:b/>
                <w:sz w:val="16"/>
                <w:szCs w:val="16"/>
              </w:rPr>
            </w:pPr>
          </w:p>
        </w:tc>
        <w:tc>
          <w:tcPr>
            <w:tcW w:w="436" w:type="pct"/>
            <w:vMerge/>
          </w:tcPr>
          <w:p w:rsidR="0032105B" w:rsidRPr="009E0EEB" w:rsidRDefault="0032105B" w:rsidP="00C81429">
            <w:pPr>
              <w:contextualSpacing/>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внешний/нижний слой</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не </w:t>
            </w:r>
            <w:proofErr w:type="gramStart"/>
            <w:r w:rsidRPr="009E0EEB">
              <w:rPr>
                <w:sz w:val="16"/>
                <w:szCs w:val="16"/>
              </w:rPr>
              <w:t>пропускающий</w:t>
            </w:r>
            <w:proofErr w:type="gramEnd"/>
            <w:r w:rsidRPr="009E0EEB">
              <w:rPr>
                <w:sz w:val="16"/>
                <w:szCs w:val="16"/>
              </w:rPr>
              <w:t xml:space="preserve"> влагу наружу, паропроницаемый</w:t>
            </w:r>
          </w:p>
        </w:tc>
        <w:tc>
          <w:tcPr>
            <w:tcW w:w="509" w:type="pct"/>
            <w:vMerge/>
            <w:shd w:val="clear" w:color="auto" w:fill="auto"/>
            <w:tcMar>
              <w:left w:w="108" w:type="dxa"/>
            </w:tcMar>
            <w:vAlign w:val="center"/>
          </w:tcPr>
          <w:p w:rsidR="0032105B" w:rsidRPr="009E0EEB" w:rsidRDefault="0032105B" w:rsidP="00C81429">
            <w:pPr>
              <w:contextualSpacing/>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rPr>
                <w:b/>
                <w:sz w:val="16"/>
                <w:szCs w:val="16"/>
              </w:rPr>
            </w:pPr>
          </w:p>
        </w:tc>
        <w:tc>
          <w:tcPr>
            <w:tcW w:w="654" w:type="pct"/>
            <w:vMerge/>
          </w:tcPr>
          <w:p w:rsidR="0032105B" w:rsidRPr="009E0EEB" w:rsidRDefault="0032105B" w:rsidP="00C81429">
            <w:pPr>
              <w:ind w:firstLine="360"/>
              <w:contextualSpacing/>
              <w:rPr>
                <w:b/>
                <w:sz w:val="16"/>
                <w:szCs w:val="16"/>
              </w:rPr>
            </w:pPr>
          </w:p>
        </w:tc>
        <w:tc>
          <w:tcPr>
            <w:tcW w:w="362" w:type="pct"/>
            <w:vMerge/>
            <w:shd w:val="clear" w:color="auto" w:fill="auto"/>
            <w:tcMar>
              <w:left w:w="108" w:type="dxa"/>
            </w:tcMar>
            <w:vAlign w:val="center"/>
          </w:tcPr>
          <w:p w:rsidR="0032105B" w:rsidRPr="009E0EEB" w:rsidRDefault="0032105B" w:rsidP="00C81429">
            <w:pPr>
              <w:ind w:firstLine="360"/>
              <w:contextualSpacing/>
              <w:rPr>
                <w:b/>
                <w:sz w:val="16"/>
                <w:szCs w:val="16"/>
              </w:rPr>
            </w:pPr>
          </w:p>
        </w:tc>
        <w:tc>
          <w:tcPr>
            <w:tcW w:w="436" w:type="pct"/>
            <w:vMerge/>
          </w:tcPr>
          <w:p w:rsidR="0032105B" w:rsidRPr="009E0EEB" w:rsidRDefault="0032105B" w:rsidP="00C81429">
            <w:pPr>
              <w:contextualSpacing/>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защитные бортики/ барьеры по краям</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наличие</w:t>
            </w:r>
          </w:p>
        </w:tc>
        <w:tc>
          <w:tcPr>
            <w:tcW w:w="509" w:type="pct"/>
            <w:vMerge/>
            <w:shd w:val="clear" w:color="auto" w:fill="auto"/>
            <w:tcMar>
              <w:left w:w="108" w:type="dxa"/>
            </w:tcMar>
            <w:vAlign w:val="center"/>
          </w:tcPr>
          <w:p w:rsidR="0032105B" w:rsidRPr="009E0EEB" w:rsidRDefault="0032105B" w:rsidP="00C81429">
            <w:pPr>
              <w:contextualSpacing/>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rPr>
                <w:b/>
                <w:sz w:val="16"/>
                <w:szCs w:val="16"/>
              </w:rPr>
            </w:pPr>
          </w:p>
        </w:tc>
        <w:tc>
          <w:tcPr>
            <w:tcW w:w="654" w:type="pct"/>
            <w:vMerge/>
          </w:tcPr>
          <w:p w:rsidR="0032105B" w:rsidRPr="009E0EEB" w:rsidRDefault="0032105B" w:rsidP="00C81429">
            <w:pPr>
              <w:ind w:firstLine="360"/>
              <w:contextualSpacing/>
              <w:rPr>
                <w:b/>
                <w:sz w:val="16"/>
                <w:szCs w:val="16"/>
              </w:rPr>
            </w:pPr>
          </w:p>
        </w:tc>
        <w:tc>
          <w:tcPr>
            <w:tcW w:w="362" w:type="pct"/>
            <w:vMerge/>
            <w:shd w:val="clear" w:color="auto" w:fill="auto"/>
            <w:tcMar>
              <w:left w:w="108" w:type="dxa"/>
            </w:tcMar>
            <w:vAlign w:val="center"/>
          </w:tcPr>
          <w:p w:rsidR="0032105B" w:rsidRPr="009E0EEB" w:rsidRDefault="0032105B" w:rsidP="00C81429">
            <w:pPr>
              <w:ind w:firstLine="360"/>
              <w:contextualSpacing/>
              <w:rPr>
                <w:b/>
                <w:sz w:val="16"/>
                <w:szCs w:val="16"/>
              </w:rPr>
            </w:pPr>
          </w:p>
        </w:tc>
        <w:tc>
          <w:tcPr>
            <w:tcW w:w="436" w:type="pct"/>
            <w:vMerge/>
          </w:tcPr>
          <w:p w:rsidR="0032105B" w:rsidRPr="009E0EEB" w:rsidRDefault="0032105B" w:rsidP="00C81429">
            <w:pPr>
              <w:contextualSpacing/>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многоразовые застежки</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наличие</w:t>
            </w:r>
          </w:p>
        </w:tc>
        <w:tc>
          <w:tcPr>
            <w:tcW w:w="509" w:type="pct"/>
            <w:vMerge/>
            <w:shd w:val="clear" w:color="auto" w:fill="auto"/>
            <w:tcMar>
              <w:left w:w="108" w:type="dxa"/>
            </w:tcMar>
            <w:vAlign w:val="center"/>
          </w:tcPr>
          <w:p w:rsidR="0032105B" w:rsidRPr="009E0EEB" w:rsidRDefault="0032105B" w:rsidP="00C81429">
            <w:pPr>
              <w:contextualSpacing/>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rPr>
                <w:b/>
                <w:sz w:val="16"/>
                <w:szCs w:val="16"/>
              </w:rPr>
            </w:pPr>
          </w:p>
        </w:tc>
        <w:tc>
          <w:tcPr>
            <w:tcW w:w="654" w:type="pct"/>
            <w:vMerge/>
          </w:tcPr>
          <w:p w:rsidR="0032105B" w:rsidRPr="009E0EEB" w:rsidRDefault="0032105B" w:rsidP="00C81429">
            <w:pPr>
              <w:ind w:firstLine="360"/>
              <w:contextualSpacing/>
              <w:rPr>
                <w:b/>
                <w:sz w:val="16"/>
                <w:szCs w:val="16"/>
              </w:rPr>
            </w:pPr>
          </w:p>
        </w:tc>
        <w:tc>
          <w:tcPr>
            <w:tcW w:w="362" w:type="pct"/>
            <w:vMerge/>
            <w:shd w:val="clear" w:color="auto" w:fill="auto"/>
            <w:tcMar>
              <w:left w:w="108" w:type="dxa"/>
            </w:tcMar>
            <w:vAlign w:val="center"/>
          </w:tcPr>
          <w:p w:rsidR="0032105B" w:rsidRPr="009E0EEB" w:rsidRDefault="0032105B" w:rsidP="00C81429">
            <w:pPr>
              <w:ind w:firstLine="360"/>
              <w:contextualSpacing/>
              <w:rPr>
                <w:b/>
                <w:sz w:val="16"/>
                <w:szCs w:val="16"/>
              </w:rPr>
            </w:pPr>
          </w:p>
        </w:tc>
        <w:tc>
          <w:tcPr>
            <w:tcW w:w="436" w:type="pct"/>
            <w:vMerge/>
          </w:tcPr>
          <w:p w:rsidR="0032105B" w:rsidRPr="009E0EEB" w:rsidRDefault="0032105B" w:rsidP="00C81429">
            <w:pPr>
              <w:contextualSpacing/>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полное влагопоглощение, </w:t>
            </w:r>
            <w:proofErr w:type="gramStart"/>
            <w:r w:rsidRPr="009E0EEB">
              <w:rPr>
                <w:sz w:val="16"/>
                <w:szCs w:val="16"/>
              </w:rPr>
              <w:t>г</w:t>
            </w:r>
            <w:proofErr w:type="gramEnd"/>
            <w:r w:rsidRPr="009E0EEB">
              <w:rPr>
                <w:sz w:val="16"/>
                <w:szCs w:val="16"/>
              </w:rPr>
              <w:t>.</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не менее 280</w:t>
            </w:r>
          </w:p>
        </w:tc>
        <w:tc>
          <w:tcPr>
            <w:tcW w:w="509" w:type="pct"/>
            <w:vMerge/>
            <w:shd w:val="clear" w:color="auto" w:fill="auto"/>
            <w:tcMar>
              <w:left w:w="108" w:type="dxa"/>
            </w:tcMar>
            <w:vAlign w:val="center"/>
          </w:tcPr>
          <w:p w:rsidR="0032105B" w:rsidRPr="009E0EEB" w:rsidRDefault="0032105B" w:rsidP="00C81429">
            <w:pPr>
              <w:contextualSpacing/>
              <w:rPr>
                <w:i/>
                <w:sz w:val="16"/>
                <w:szCs w:val="16"/>
              </w:rPr>
            </w:pPr>
          </w:p>
        </w:tc>
      </w:tr>
      <w:tr w:rsidR="0032105B" w:rsidRPr="009E0EEB" w:rsidTr="00C81429">
        <w:tc>
          <w:tcPr>
            <w:tcW w:w="232" w:type="pct"/>
            <w:vMerge/>
            <w:shd w:val="clear" w:color="auto" w:fill="auto"/>
            <w:tcMar>
              <w:left w:w="108" w:type="dxa"/>
            </w:tcMar>
            <w:vAlign w:val="center"/>
          </w:tcPr>
          <w:p w:rsidR="0032105B" w:rsidRPr="009E0EEB" w:rsidRDefault="0032105B" w:rsidP="00C81429">
            <w:pPr>
              <w:contextualSpacing/>
              <w:rPr>
                <w:b/>
                <w:sz w:val="16"/>
                <w:szCs w:val="16"/>
              </w:rPr>
            </w:pPr>
          </w:p>
        </w:tc>
        <w:tc>
          <w:tcPr>
            <w:tcW w:w="480" w:type="pct"/>
            <w:vMerge/>
          </w:tcPr>
          <w:p w:rsidR="0032105B" w:rsidRPr="009E0EEB" w:rsidRDefault="0032105B" w:rsidP="00C81429">
            <w:pPr>
              <w:ind w:firstLine="360"/>
              <w:contextualSpacing/>
              <w:rPr>
                <w:b/>
                <w:sz w:val="16"/>
                <w:szCs w:val="16"/>
              </w:rPr>
            </w:pPr>
          </w:p>
        </w:tc>
        <w:tc>
          <w:tcPr>
            <w:tcW w:w="654" w:type="pct"/>
            <w:vMerge/>
          </w:tcPr>
          <w:p w:rsidR="0032105B" w:rsidRPr="009E0EEB" w:rsidRDefault="0032105B" w:rsidP="00C81429">
            <w:pPr>
              <w:ind w:firstLine="360"/>
              <w:contextualSpacing/>
              <w:rPr>
                <w:b/>
                <w:sz w:val="16"/>
                <w:szCs w:val="16"/>
              </w:rPr>
            </w:pPr>
          </w:p>
        </w:tc>
        <w:tc>
          <w:tcPr>
            <w:tcW w:w="362" w:type="pct"/>
            <w:vMerge/>
            <w:shd w:val="clear" w:color="auto" w:fill="auto"/>
            <w:tcMar>
              <w:left w:w="108" w:type="dxa"/>
            </w:tcMar>
            <w:vAlign w:val="center"/>
          </w:tcPr>
          <w:p w:rsidR="0032105B" w:rsidRPr="009E0EEB" w:rsidRDefault="0032105B" w:rsidP="00C81429">
            <w:pPr>
              <w:ind w:firstLine="360"/>
              <w:contextualSpacing/>
              <w:rPr>
                <w:b/>
                <w:sz w:val="16"/>
                <w:szCs w:val="16"/>
              </w:rPr>
            </w:pPr>
          </w:p>
        </w:tc>
        <w:tc>
          <w:tcPr>
            <w:tcW w:w="436" w:type="pct"/>
            <w:vMerge/>
          </w:tcPr>
          <w:p w:rsidR="0032105B" w:rsidRPr="009E0EEB" w:rsidRDefault="0032105B" w:rsidP="00C81429">
            <w:pPr>
              <w:contextualSpacing/>
              <w:rPr>
                <w:sz w:val="16"/>
                <w:szCs w:val="16"/>
              </w:rPr>
            </w:pPr>
          </w:p>
        </w:tc>
        <w:tc>
          <w:tcPr>
            <w:tcW w:w="1164"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 xml:space="preserve">размер подгузника </w:t>
            </w:r>
          </w:p>
        </w:tc>
        <w:tc>
          <w:tcPr>
            <w:tcW w:w="1163" w:type="pct"/>
            <w:shd w:val="clear" w:color="auto" w:fill="auto"/>
            <w:tcMar>
              <w:left w:w="108" w:type="dxa"/>
            </w:tcMar>
            <w:vAlign w:val="center"/>
          </w:tcPr>
          <w:p w:rsidR="0032105B" w:rsidRPr="009E0EEB" w:rsidRDefault="0032105B" w:rsidP="00C81429">
            <w:pPr>
              <w:contextualSpacing/>
              <w:rPr>
                <w:sz w:val="16"/>
                <w:szCs w:val="16"/>
              </w:rPr>
            </w:pPr>
            <w:r w:rsidRPr="009E0EEB">
              <w:rPr>
                <w:sz w:val="16"/>
                <w:szCs w:val="16"/>
              </w:rPr>
              <w:t>для детей весом свыше 20 кг</w:t>
            </w:r>
          </w:p>
        </w:tc>
        <w:tc>
          <w:tcPr>
            <w:tcW w:w="509" w:type="pct"/>
            <w:vMerge/>
            <w:shd w:val="clear" w:color="auto" w:fill="auto"/>
            <w:tcMar>
              <w:left w:w="108" w:type="dxa"/>
            </w:tcMar>
            <w:vAlign w:val="center"/>
          </w:tcPr>
          <w:p w:rsidR="0032105B" w:rsidRPr="009E0EEB" w:rsidRDefault="0032105B" w:rsidP="00C81429">
            <w:pPr>
              <w:contextualSpacing/>
              <w:rPr>
                <w:i/>
                <w:sz w:val="16"/>
                <w:szCs w:val="16"/>
              </w:rPr>
            </w:pPr>
          </w:p>
        </w:tc>
      </w:tr>
      <w:tr w:rsidR="0032105B" w:rsidRPr="009E0EEB" w:rsidTr="00C81429">
        <w:trPr>
          <w:trHeight w:val="279"/>
        </w:trPr>
        <w:tc>
          <w:tcPr>
            <w:tcW w:w="4491" w:type="pct"/>
            <w:gridSpan w:val="7"/>
          </w:tcPr>
          <w:p w:rsidR="0032105B" w:rsidRPr="009E0EEB" w:rsidRDefault="0032105B" w:rsidP="00C81429">
            <w:pPr>
              <w:contextualSpacing/>
              <w:jc w:val="center"/>
              <w:rPr>
                <w:b/>
                <w:sz w:val="16"/>
                <w:szCs w:val="16"/>
              </w:rPr>
            </w:pPr>
            <w:r w:rsidRPr="009E0EEB">
              <w:rPr>
                <w:b/>
                <w:sz w:val="16"/>
                <w:szCs w:val="16"/>
              </w:rPr>
              <w:t>ИТОГО:</w:t>
            </w:r>
          </w:p>
        </w:tc>
        <w:tc>
          <w:tcPr>
            <w:tcW w:w="509" w:type="pct"/>
            <w:shd w:val="clear" w:color="auto" w:fill="auto"/>
            <w:tcMar>
              <w:left w:w="108" w:type="dxa"/>
            </w:tcMar>
            <w:vAlign w:val="center"/>
          </w:tcPr>
          <w:p w:rsidR="0032105B" w:rsidRPr="009E0EEB" w:rsidRDefault="0032105B" w:rsidP="00C81429">
            <w:pPr>
              <w:contextualSpacing/>
              <w:jc w:val="center"/>
              <w:rPr>
                <w:b/>
                <w:sz w:val="16"/>
                <w:szCs w:val="16"/>
              </w:rPr>
            </w:pPr>
            <w:r w:rsidRPr="009E0EEB">
              <w:rPr>
                <w:b/>
                <w:sz w:val="16"/>
                <w:szCs w:val="16"/>
              </w:rPr>
              <w:t>36,68</w:t>
            </w:r>
          </w:p>
        </w:tc>
      </w:tr>
    </w:tbl>
    <w:p w:rsidR="0032105B" w:rsidRPr="009E0EEB" w:rsidRDefault="0032105B" w:rsidP="0032105B">
      <w:pPr>
        <w:ind w:firstLine="709"/>
        <w:jc w:val="both"/>
        <w:rPr>
          <w:bCs/>
          <w:sz w:val="20"/>
          <w:szCs w:val="20"/>
        </w:rPr>
      </w:pPr>
    </w:p>
    <w:p w:rsidR="0032105B" w:rsidRPr="009E0EEB" w:rsidRDefault="0032105B" w:rsidP="0032105B">
      <w:pPr>
        <w:ind w:firstLine="709"/>
        <w:jc w:val="both"/>
        <w:rPr>
          <w:bCs/>
          <w:sz w:val="22"/>
          <w:szCs w:val="22"/>
        </w:rPr>
      </w:pPr>
      <w:proofErr w:type="gramStart"/>
      <w:r w:rsidRPr="009E0EEB">
        <w:rPr>
          <w:bCs/>
          <w:sz w:val="22"/>
          <w:szCs w:val="22"/>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9E0EEB">
        <w:rPr>
          <w:bCs/>
          <w:sz w:val="22"/>
          <w:szCs w:val="22"/>
        </w:rPr>
        <w:t>абилитации</w:t>
      </w:r>
      <w:proofErr w:type="spellEnd"/>
      <w:r w:rsidRPr="009E0EEB">
        <w:rPr>
          <w:bCs/>
          <w:sz w:val="22"/>
          <w:szCs w:val="22"/>
        </w:rPr>
        <w:t>), которые соответствуют классификатору, утвержденному Приказом Министерства труда и социальной</w:t>
      </w:r>
      <w:proofErr w:type="gramEnd"/>
      <w:r w:rsidRPr="009E0EEB">
        <w:rPr>
          <w:bCs/>
          <w:sz w:val="22"/>
          <w:szCs w:val="22"/>
        </w:rPr>
        <w:t xml:space="preserve">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32105B" w:rsidRPr="009E0EEB" w:rsidRDefault="0032105B" w:rsidP="0032105B">
      <w:pPr>
        <w:ind w:firstLine="709"/>
        <w:jc w:val="both"/>
        <w:rPr>
          <w:bCs/>
          <w:sz w:val="22"/>
          <w:szCs w:val="22"/>
        </w:rPr>
      </w:pPr>
      <w:proofErr w:type="gramStart"/>
      <w:r w:rsidRPr="009E0EEB">
        <w:rPr>
          <w:bCs/>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9E0EEB">
        <w:rPr>
          <w:bCs/>
          <w:sz w:val="22"/>
          <w:szCs w:val="22"/>
        </w:rPr>
        <w:t xml:space="preserve"> терминологии).</w:t>
      </w:r>
    </w:p>
    <w:p w:rsidR="0032105B" w:rsidRPr="009E0EEB" w:rsidRDefault="0032105B" w:rsidP="0032105B">
      <w:pPr>
        <w:ind w:firstLine="709"/>
        <w:jc w:val="both"/>
        <w:rPr>
          <w:bCs/>
          <w:sz w:val="22"/>
          <w:szCs w:val="22"/>
        </w:rPr>
      </w:pPr>
    </w:p>
    <w:p w:rsidR="0032105B" w:rsidRPr="009E0EEB" w:rsidRDefault="0032105B" w:rsidP="0032105B">
      <w:pPr>
        <w:ind w:firstLine="709"/>
        <w:jc w:val="center"/>
        <w:rPr>
          <w:b/>
          <w:bCs/>
          <w:sz w:val="22"/>
          <w:szCs w:val="22"/>
        </w:rPr>
      </w:pPr>
      <w:r w:rsidRPr="009E0EEB">
        <w:rPr>
          <w:b/>
          <w:bCs/>
          <w:sz w:val="22"/>
          <w:szCs w:val="22"/>
        </w:rPr>
        <w:t>Требования к качеству товара</w:t>
      </w:r>
    </w:p>
    <w:p w:rsidR="0032105B" w:rsidRPr="009E0EEB" w:rsidRDefault="0032105B" w:rsidP="0032105B">
      <w:pPr>
        <w:ind w:firstLine="709"/>
        <w:jc w:val="both"/>
        <w:rPr>
          <w:bCs/>
          <w:sz w:val="22"/>
          <w:szCs w:val="22"/>
        </w:rPr>
      </w:pPr>
      <w:r w:rsidRPr="009E0EEB">
        <w:rPr>
          <w:bCs/>
          <w:sz w:val="22"/>
          <w:szCs w:val="22"/>
        </w:rPr>
        <w:t xml:space="preserve">Подгузник детский -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9E0EEB">
        <w:rPr>
          <w:bCs/>
          <w:sz w:val="22"/>
          <w:szCs w:val="22"/>
        </w:rPr>
        <w:t>гелеобразующие</w:t>
      </w:r>
      <w:proofErr w:type="spellEnd"/>
      <w:r w:rsidRPr="009E0EEB">
        <w:rPr>
          <w:bCs/>
          <w:sz w:val="22"/>
          <w:szCs w:val="22"/>
        </w:rPr>
        <w:t xml:space="preserve"> влагопоглощающие материалы (вещества) для впитывания и удержания мочи ребенка (далее - жидкость), предназначенное для ухода за детьми.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w:t>
      </w:r>
    </w:p>
    <w:p w:rsidR="0032105B" w:rsidRPr="009E0EEB" w:rsidRDefault="0032105B" w:rsidP="0032105B">
      <w:pPr>
        <w:ind w:firstLine="709"/>
        <w:jc w:val="both"/>
        <w:rPr>
          <w:bCs/>
          <w:sz w:val="22"/>
          <w:szCs w:val="22"/>
        </w:rPr>
      </w:pPr>
      <w:r w:rsidRPr="009E0EEB">
        <w:rPr>
          <w:bCs/>
          <w:sz w:val="22"/>
          <w:szCs w:val="22"/>
        </w:rPr>
        <w:t>Конструкция подгузников включает (начиная со слоя, контактирующего с кожей ребенка):</w:t>
      </w:r>
    </w:p>
    <w:p w:rsidR="0032105B" w:rsidRPr="009E0EEB" w:rsidRDefault="0032105B" w:rsidP="0032105B">
      <w:pPr>
        <w:ind w:firstLine="709"/>
        <w:jc w:val="both"/>
        <w:rPr>
          <w:bCs/>
          <w:sz w:val="22"/>
          <w:szCs w:val="22"/>
        </w:rPr>
      </w:pPr>
      <w:r w:rsidRPr="009E0EEB">
        <w:rPr>
          <w:bCs/>
          <w:sz w:val="22"/>
          <w:szCs w:val="22"/>
        </w:rPr>
        <w:t>- верхний (внутренний) покровный слой - слой, который непосредственно соприкасается с кожей ребенка и пропускает жидкость внутрь подгузника;</w:t>
      </w:r>
    </w:p>
    <w:p w:rsidR="0032105B" w:rsidRPr="009E0EEB" w:rsidRDefault="0032105B" w:rsidP="0032105B">
      <w:pPr>
        <w:ind w:firstLine="709"/>
        <w:jc w:val="both"/>
        <w:rPr>
          <w:bCs/>
          <w:sz w:val="22"/>
          <w:szCs w:val="22"/>
        </w:rPr>
      </w:pPr>
      <w:r w:rsidRPr="009E0EEB">
        <w:rPr>
          <w:bCs/>
          <w:sz w:val="22"/>
          <w:szCs w:val="22"/>
        </w:rPr>
        <w:t>- распределительный слой - слой, который расположен за верхним покровным слоем и способствует равномерному распределению жидкости внутри подгузника;</w:t>
      </w:r>
    </w:p>
    <w:p w:rsidR="0032105B" w:rsidRPr="009E0EEB" w:rsidRDefault="0032105B" w:rsidP="0032105B">
      <w:pPr>
        <w:ind w:firstLine="709"/>
        <w:jc w:val="both"/>
        <w:rPr>
          <w:bCs/>
          <w:sz w:val="22"/>
          <w:szCs w:val="22"/>
        </w:rPr>
      </w:pPr>
      <w:r w:rsidRPr="009E0EEB">
        <w:rPr>
          <w:bCs/>
          <w:sz w:val="22"/>
          <w:szCs w:val="22"/>
        </w:rPr>
        <w:t>- абсорбирующий (впитывающий) слой - внутренний основной впитывающий слой подгузника, который поглощает и удерживает впитываемую жидкость внутри подгузника;</w:t>
      </w:r>
    </w:p>
    <w:p w:rsidR="0032105B" w:rsidRPr="009E0EEB" w:rsidRDefault="0032105B" w:rsidP="0032105B">
      <w:pPr>
        <w:ind w:firstLine="709"/>
        <w:jc w:val="both"/>
        <w:rPr>
          <w:bCs/>
          <w:sz w:val="22"/>
          <w:szCs w:val="22"/>
        </w:rPr>
      </w:pPr>
      <w:r w:rsidRPr="009E0EEB">
        <w:rPr>
          <w:bCs/>
          <w:sz w:val="22"/>
          <w:szCs w:val="22"/>
        </w:rPr>
        <w:t>- защитный слой (внешний) - слой, который расположен непосредственно за абсорбирующим слоем и предотвращает проникновение жидкости наружу;</w:t>
      </w:r>
    </w:p>
    <w:p w:rsidR="0032105B" w:rsidRPr="009E0EEB" w:rsidRDefault="0032105B" w:rsidP="0032105B">
      <w:pPr>
        <w:ind w:firstLine="709"/>
        <w:jc w:val="both"/>
        <w:rPr>
          <w:bCs/>
          <w:sz w:val="22"/>
          <w:szCs w:val="22"/>
        </w:rPr>
      </w:pPr>
      <w:r w:rsidRPr="009E0EEB">
        <w:rPr>
          <w:bCs/>
          <w:sz w:val="22"/>
          <w:szCs w:val="22"/>
        </w:rPr>
        <w:t>- нижний покровный слой - слой, который расположен за защитным слоем;</w:t>
      </w:r>
    </w:p>
    <w:p w:rsidR="0032105B" w:rsidRPr="009E0EEB" w:rsidRDefault="0032105B" w:rsidP="0032105B">
      <w:pPr>
        <w:ind w:firstLine="709"/>
        <w:jc w:val="both"/>
        <w:rPr>
          <w:bCs/>
          <w:sz w:val="22"/>
          <w:szCs w:val="22"/>
        </w:rPr>
      </w:pPr>
      <w:r w:rsidRPr="009E0EEB">
        <w:rPr>
          <w:bCs/>
          <w:sz w:val="22"/>
          <w:szCs w:val="22"/>
        </w:rPr>
        <w:t>- боковые дугообразные оборки с двух сторон подгузника, стянутые резинками;</w:t>
      </w:r>
    </w:p>
    <w:p w:rsidR="0032105B" w:rsidRPr="009E0EEB" w:rsidRDefault="0032105B" w:rsidP="0032105B">
      <w:pPr>
        <w:ind w:firstLine="709"/>
        <w:jc w:val="both"/>
        <w:rPr>
          <w:bCs/>
          <w:sz w:val="22"/>
          <w:szCs w:val="22"/>
        </w:rPr>
      </w:pPr>
      <w:r w:rsidRPr="009E0EEB">
        <w:rPr>
          <w:bCs/>
          <w:sz w:val="22"/>
          <w:szCs w:val="22"/>
        </w:rPr>
        <w:t>- застежки -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p>
    <w:p w:rsidR="0032105B" w:rsidRPr="009E0EEB" w:rsidRDefault="0032105B" w:rsidP="0032105B">
      <w:pPr>
        <w:ind w:firstLine="709"/>
        <w:jc w:val="both"/>
        <w:rPr>
          <w:bCs/>
          <w:sz w:val="22"/>
          <w:szCs w:val="22"/>
        </w:rPr>
      </w:pPr>
      <w:r w:rsidRPr="009E0EEB">
        <w:rPr>
          <w:bCs/>
          <w:sz w:val="22"/>
          <w:szCs w:val="22"/>
        </w:rPr>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w:t>
      </w:r>
    </w:p>
    <w:p w:rsidR="0032105B" w:rsidRPr="009E0EEB" w:rsidRDefault="0032105B" w:rsidP="0032105B">
      <w:pPr>
        <w:ind w:firstLine="709"/>
        <w:jc w:val="both"/>
        <w:rPr>
          <w:bCs/>
          <w:sz w:val="22"/>
          <w:szCs w:val="22"/>
        </w:rPr>
      </w:pPr>
      <w:r w:rsidRPr="009E0EEB">
        <w:rPr>
          <w:bCs/>
          <w:sz w:val="22"/>
          <w:szCs w:val="22"/>
        </w:rPr>
        <w:t xml:space="preserve">Подгузники могут иметь дополнительные слои помимо </w:t>
      </w:r>
      <w:proofErr w:type="gramStart"/>
      <w:r w:rsidRPr="009E0EEB">
        <w:rPr>
          <w:bCs/>
          <w:sz w:val="22"/>
          <w:szCs w:val="22"/>
        </w:rPr>
        <w:t>вышеперечисленных</w:t>
      </w:r>
      <w:proofErr w:type="gramEnd"/>
      <w:r w:rsidRPr="009E0EEB">
        <w:rPr>
          <w:bCs/>
          <w:sz w:val="22"/>
          <w:szCs w:val="22"/>
        </w:rPr>
        <w:t>, выполняющие определенные функции.</w:t>
      </w:r>
    </w:p>
    <w:p w:rsidR="0032105B" w:rsidRPr="009E0EEB" w:rsidRDefault="0032105B" w:rsidP="0032105B">
      <w:pPr>
        <w:ind w:firstLine="709"/>
        <w:jc w:val="both"/>
        <w:rPr>
          <w:bCs/>
          <w:sz w:val="22"/>
          <w:szCs w:val="22"/>
        </w:rPr>
      </w:pPr>
      <w:r w:rsidRPr="009E0EEB">
        <w:rPr>
          <w:bCs/>
          <w:sz w:val="22"/>
          <w:szCs w:val="22"/>
        </w:rPr>
        <w:t>Для изготовления подгузников не допускается использование бумаги бытового и санитарно-гигиенического назначения из бумажной и картонной макулатуры по ГОСТ 10700-97 «Макулатура бумажная и картонная. Технические условия».</w:t>
      </w:r>
    </w:p>
    <w:p w:rsidR="0032105B" w:rsidRPr="009E0EEB" w:rsidRDefault="0032105B" w:rsidP="0032105B">
      <w:pPr>
        <w:ind w:firstLine="709"/>
        <w:jc w:val="both"/>
        <w:rPr>
          <w:bCs/>
          <w:sz w:val="22"/>
          <w:szCs w:val="22"/>
        </w:rPr>
      </w:pPr>
      <w:r w:rsidRPr="009E0EEB">
        <w:rPr>
          <w:bCs/>
          <w:sz w:val="22"/>
          <w:szCs w:val="2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32105B" w:rsidRPr="009E0EEB" w:rsidRDefault="0032105B" w:rsidP="0032105B">
      <w:pPr>
        <w:ind w:firstLine="709"/>
        <w:jc w:val="both"/>
        <w:rPr>
          <w:bCs/>
          <w:sz w:val="22"/>
          <w:szCs w:val="22"/>
        </w:rPr>
      </w:pPr>
      <w:r w:rsidRPr="009E0EEB">
        <w:rPr>
          <w:bCs/>
          <w:sz w:val="22"/>
          <w:szCs w:val="22"/>
        </w:rPr>
        <w:t xml:space="preserve">Подгузники детские должны соответствовать требованиям стандартов серии ГОСТ </w:t>
      </w:r>
      <w:proofErr w:type="gramStart"/>
      <w:r w:rsidRPr="009E0EEB">
        <w:rPr>
          <w:bCs/>
          <w:sz w:val="22"/>
          <w:szCs w:val="22"/>
        </w:rPr>
        <w:t>Р</w:t>
      </w:r>
      <w:proofErr w:type="gramEnd"/>
      <w:r w:rsidRPr="009E0EEB">
        <w:rPr>
          <w:bCs/>
          <w:sz w:val="22"/>
          <w:szCs w:val="22"/>
        </w:rPr>
        <w:t xml:space="preserve"> 52557-2011 «Подгузники детские бумажные. Общие технические условия», ГОСТ </w:t>
      </w:r>
      <w:proofErr w:type="gramStart"/>
      <w:r w:rsidRPr="009E0EEB">
        <w:rPr>
          <w:bCs/>
          <w:sz w:val="22"/>
          <w:szCs w:val="22"/>
        </w:rPr>
        <w:t>Р</w:t>
      </w:r>
      <w:proofErr w:type="gramEnd"/>
      <w:r w:rsidRPr="009E0EEB">
        <w:rPr>
          <w:bCs/>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9E0EEB">
        <w:rPr>
          <w:bCs/>
          <w:sz w:val="22"/>
          <w:szCs w:val="22"/>
        </w:rPr>
        <w:t>Р</w:t>
      </w:r>
      <w:proofErr w:type="gramEnd"/>
      <w:r w:rsidRPr="009E0EEB">
        <w:rPr>
          <w:bCs/>
          <w:sz w:val="22"/>
          <w:szCs w:val="22"/>
        </w:rPr>
        <w:t xml:space="preserve"> ИСО 10933-1-2011 «Оценка биологического действия медицинских изделий», ГОСТу </w:t>
      </w:r>
      <w:r w:rsidRPr="009E0EEB">
        <w:rPr>
          <w:bCs/>
          <w:sz w:val="22"/>
          <w:szCs w:val="22"/>
        </w:rPr>
        <w:lastRenderedPageBreak/>
        <w:t xml:space="preserve">Р 52770-2016 «Изделия медицинские. Требования безопасности. Методы санитарно-химических и токсикологических испытаний», ГОСТ ИСО 10993-1-2011, ГОСТ ИСО 10993-5-2011, ГОСТ ИСО 10993-10-2011. </w:t>
      </w:r>
    </w:p>
    <w:p w:rsidR="0032105B" w:rsidRPr="009E0EEB" w:rsidRDefault="0032105B" w:rsidP="0032105B">
      <w:pPr>
        <w:ind w:firstLine="709"/>
        <w:jc w:val="both"/>
        <w:rPr>
          <w:bCs/>
          <w:sz w:val="22"/>
          <w:szCs w:val="22"/>
        </w:rPr>
      </w:pPr>
      <w:r w:rsidRPr="009E0EEB">
        <w:rPr>
          <w:bCs/>
          <w:sz w:val="22"/>
          <w:szCs w:val="22"/>
        </w:rPr>
        <w:t>В изделиях не допускаются механические повреждения (разрыв края, разрезы и т.п.), пятна различного происхождения, посторонние включения.</w:t>
      </w:r>
    </w:p>
    <w:p w:rsidR="0032105B" w:rsidRPr="009E0EEB" w:rsidRDefault="0032105B" w:rsidP="0032105B">
      <w:pPr>
        <w:ind w:firstLine="709"/>
        <w:jc w:val="both"/>
        <w:rPr>
          <w:bCs/>
          <w:sz w:val="22"/>
          <w:szCs w:val="22"/>
        </w:rPr>
      </w:pPr>
      <w:r w:rsidRPr="009E0EEB">
        <w:rPr>
          <w:bCs/>
          <w:sz w:val="22"/>
          <w:szCs w:val="22"/>
        </w:rPr>
        <w:t xml:space="preserve">Печатное изображение на изделиях должно быть четким без искажений и пробелов. Не допускаются следы </w:t>
      </w:r>
      <w:proofErr w:type="spellStart"/>
      <w:r w:rsidRPr="009E0EEB">
        <w:rPr>
          <w:bCs/>
          <w:sz w:val="22"/>
          <w:szCs w:val="22"/>
        </w:rPr>
        <w:t>выщипывания</w:t>
      </w:r>
      <w:proofErr w:type="spellEnd"/>
      <w:r w:rsidRPr="009E0EEB">
        <w:rPr>
          <w:bCs/>
          <w:sz w:val="22"/>
          <w:szCs w:val="22"/>
        </w:rPr>
        <w:t xml:space="preserve"> волокон с поверхности изделий и </w:t>
      </w:r>
      <w:proofErr w:type="spellStart"/>
      <w:r w:rsidRPr="009E0EEB">
        <w:rPr>
          <w:bCs/>
          <w:sz w:val="22"/>
          <w:szCs w:val="22"/>
        </w:rPr>
        <w:t>отмарывания</w:t>
      </w:r>
      <w:proofErr w:type="spellEnd"/>
      <w:r w:rsidRPr="009E0EEB">
        <w:rPr>
          <w:bCs/>
          <w:sz w:val="22"/>
          <w:szCs w:val="22"/>
        </w:rPr>
        <w:t xml:space="preserve"> краски.</w:t>
      </w:r>
    </w:p>
    <w:p w:rsidR="0032105B" w:rsidRPr="009E0EEB" w:rsidRDefault="0032105B" w:rsidP="0032105B">
      <w:pPr>
        <w:ind w:firstLine="709"/>
        <w:jc w:val="both"/>
        <w:rPr>
          <w:bCs/>
          <w:sz w:val="22"/>
          <w:szCs w:val="22"/>
        </w:rPr>
      </w:pPr>
      <w:r w:rsidRPr="009E0EEB">
        <w:rPr>
          <w:bCs/>
          <w:sz w:val="22"/>
          <w:szCs w:val="22"/>
        </w:rPr>
        <w:t>Требования к техническим характеристикам товара: указаны в таблице.</w:t>
      </w:r>
    </w:p>
    <w:p w:rsidR="0032105B" w:rsidRPr="009E0EEB" w:rsidRDefault="0032105B" w:rsidP="0032105B">
      <w:pPr>
        <w:ind w:firstLine="709"/>
        <w:jc w:val="both"/>
        <w:rPr>
          <w:bCs/>
          <w:sz w:val="22"/>
          <w:szCs w:val="22"/>
        </w:rPr>
      </w:pPr>
    </w:p>
    <w:p w:rsidR="0032105B" w:rsidRPr="009E0EEB" w:rsidRDefault="0032105B" w:rsidP="0032105B">
      <w:pPr>
        <w:keepLines/>
        <w:widowControl w:val="0"/>
        <w:tabs>
          <w:tab w:val="left" w:pos="2265"/>
        </w:tabs>
        <w:ind w:firstLine="709"/>
        <w:jc w:val="center"/>
        <w:rPr>
          <w:bCs/>
          <w:sz w:val="22"/>
          <w:szCs w:val="22"/>
        </w:rPr>
      </w:pPr>
      <w:r w:rsidRPr="009E0EEB">
        <w:rPr>
          <w:b/>
          <w:sz w:val="22"/>
          <w:szCs w:val="22"/>
        </w:rPr>
        <w:t xml:space="preserve">Требования к безопасности </w:t>
      </w:r>
      <w:r w:rsidRPr="009E0EEB">
        <w:rPr>
          <w:b/>
          <w:bCs/>
          <w:sz w:val="22"/>
          <w:szCs w:val="22"/>
        </w:rPr>
        <w:t>товара</w:t>
      </w:r>
    </w:p>
    <w:p w:rsidR="0032105B" w:rsidRPr="009E0EEB" w:rsidRDefault="0032105B" w:rsidP="0032105B">
      <w:pPr>
        <w:ind w:firstLine="709"/>
        <w:jc w:val="both"/>
        <w:rPr>
          <w:bCs/>
          <w:sz w:val="22"/>
          <w:szCs w:val="22"/>
        </w:rPr>
      </w:pPr>
      <w:proofErr w:type="gramStart"/>
      <w:r w:rsidRPr="009E0EEB">
        <w:rPr>
          <w:bCs/>
          <w:sz w:val="22"/>
          <w:szCs w:val="22"/>
        </w:rPr>
        <w:t xml:space="preserve">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w:t>
      </w:r>
      <w:bookmarkStart w:id="0" w:name="_GoBack"/>
      <w:bookmarkEnd w:id="0"/>
      <w:r w:rsidRPr="009E0EEB">
        <w:rPr>
          <w:bCs/>
          <w:sz w:val="22"/>
          <w:szCs w:val="22"/>
        </w:rPr>
        <w:t>территории Российской Федерации</w:t>
      </w:r>
      <w:proofErr w:type="gramEnd"/>
      <w:r w:rsidRPr="009E0EEB">
        <w:rPr>
          <w:bCs/>
          <w:sz w:val="22"/>
          <w:szCs w:val="22"/>
        </w:rPr>
        <w:t xml:space="preserve"> или свидетельство о государственной регистрации Таможенного союза. Декларации о соответствии (сертификаты соответствия) должны быть зарегистрированы Федеральной службой по аккредитации.</w:t>
      </w:r>
    </w:p>
    <w:p w:rsidR="0032105B" w:rsidRPr="009E0EEB" w:rsidRDefault="0032105B" w:rsidP="0032105B">
      <w:pPr>
        <w:keepNext/>
        <w:widowControl w:val="0"/>
        <w:ind w:firstLine="709"/>
        <w:jc w:val="both"/>
        <w:rPr>
          <w:sz w:val="22"/>
          <w:szCs w:val="22"/>
        </w:rPr>
      </w:pPr>
    </w:p>
    <w:p w:rsidR="0032105B" w:rsidRPr="009E0EEB" w:rsidRDefault="0032105B" w:rsidP="0032105B">
      <w:pPr>
        <w:ind w:firstLine="709"/>
        <w:jc w:val="center"/>
        <w:rPr>
          <w:bCs/>
          <w:sz w:val="22"/>
          <w:szCs w:val="22"/>
        </w:rPr>
      </w:pPr>
      <w:r w:rsidRPr="009E0EEB">
        <w:rPr>
          <w:b/>
          <w:sz w:val="22"/>
          <w:szCs w:val="22"/>
        </w:rPr>
        <w:t xml:space="preserve">Требования к результатам </w:t>
      </w:r>
      <w:r w:rsidRPr="009E0EEB">
        <w:rPr>
          <w:b/>
          <w:bCs/>
          <w:sz w:val="22"/>
          <w:szCs w:val="22"/>
        </w:rPr>
        <w:t>поставки товара</w:t>
      </w:r>
    </w:p>
    <w:p w:rsidR="0032105B" w:rsidRPr="009E0EEB" w:rsidRDefault="0032105B" w:rsidP="0032105B">
      <w:pPr>
        <w:widowControl w:val="0"/>
        <w:tabs>
          <w:tab w:val="left" w:pos="8160"/>
        </w:tabs>
        <w:ind w:firstLine="480"/>
        <w:contextualSpacing/>
        <w:jc w:val="both"/>
        <w:rPr>
          <w:sz w:val="22"/>
          <w:szCs w:val="22"/>
          <w:lang w:eastAsia="ar-SA" w:bidi="en-US"/>
        </w:rPr>
      </w:pPr>
      <w:r w:rsidRPr="009E0EEB">
        <w:rPr>
          <w:sz w:val="22"/>
          <w:szCs w:val="22"/>
          <w:lang w:eastAsia="ar-SA" w:bidi="en-US"/>
        </w:rPr>
        <w:t xml:space="preserve">Маркировка упаковки подгузников должна соответствовать требованиям </w:t>
      </w:r>
      <w:r w:rsidRPr="009E0EEB">
        <w:rPr>
          <w:sz w:val="22"/>
          <w:szCs w:val="22"/>
          <w:lang w:bidi="en-US"/>
        </w:rPr>
        <w:t xml:space="preserve">ГОСТ </w:t>
      </w:r>
      <w:proofErr w:type="gramStart"/>
      <w:r w:rsidRPr="009E0EEB">
        <w:rPr>
          <w:sz w:val="22"/>
          <w:szCs w:val="22"/>
          <w:lang w:bidi="en-US"/>
        </w:rPr>
        <w:t>Р</w:t>
      </w:r>
      <w:proofErr w:type="gramEnd"/>
      <w:r w:rsidRPr="009E0EEB">
        <w:rPr>
          <w:sz w:val="22"/>
          <w:szCs w:val="22"/>
          <w:lang w:bidi="en-US"/>
        </w:rPr>
        <w:t xml:space="preserve"> 52557-2011 «Подгузники детские бумажные. Общие технические условия» и</w:t>
      </w:r>
      <w:r w:rsidRPr="009E0EEB">
        <w:rPr>
          <w:sz w:val="22"/>
          <w:szCs w:val="22"/>
          <w:lang w:eastAsia="ar-SA" w:bidi="en-US"/>
        </w:rPr>
        <w:t xml:space="preserve"> содержать следующую информацию:</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условное обозначение возрастной группы подгузника, предельно допустимая масса ребенка, номер подгузника (при необходимости);</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xml:space="preserve">- размер изделия (при наличии), обозначение </w:t>
      </w:r>
      <w:proofErr w:type="spellStart"/>
      <w:r w:rsidRPr="009E0EEB">
        <w:rPr>
          <w:sz w:val="22"/>
          <w:szCs w:val="22"/>
          <w:lang w:bidi="en-US"/>
        </w:rPr>
        <w:t>впитываемости</w:t>
      </w:r>
      <w:proofErr w:type="spellEnd"/>
      <w:r w:rsidRPr="009E0EEB">
        <w:rPr>
          <w:sz w:val="22"/>
          <w:szCs w:val="22"/>
          <w:lang w:bidi="en-US"/>
        </w:rPr>
        <w:t xml:space="preserve"> изделия (при наличии), вид (вариант) </w:t>
      </w:r>
      <w:proofErr w:type="gramStart"/>
      <w:r w:rsidRPr="009E0EEB">
        <w:rPr>
          <w:sz w:val="22"/>
          <w:szCs w:val="22"/>
          <w:lang w:bidi="en-US"/>
        </w:rPr>
        <w:t>технического исполнения</w:t>
      </w:r>
      <w:proofErr w:type="gramEnd"/>
      <w:r w:rsidRPr="009E0EEB">
        <w:rPr>
          <w:sz w:val="22"/>
          <w:szCs w:val="22"/>
          <w:lang w:bidi="en-US"/>
        </w:rPr>
        <w:t xml:space="preserve"> подгузника</w:t>
      </w:r>
      <w:r w:rsidRPr="009E0EEB">
        <w:rPr>
          <w:sz w:val="22"/>
          <w:szCs w:val="22"/>
        </w:rPr>
        <w:t xml:space="preserve"> - </w:t>
      </w:r>
      <w:r w:rsidRPr="009E0EEB">
        <w:rPr>
          <w:sz w:val="22"/>
          <w:szCs w:val="22"/>
          <w:lang w:bidi="en-US"/>
        </w:rPr>
        <w:t>отличительные характеристики абсорбирующего белья в соответствии с его техническим исполнением (при наличии);</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товарную марку (при наличии), номер артикула (при наличии);</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страну-изготовителя; наименование предприятия-изготовителя, юридический адрес, товарный знак (при наличии);</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количество подгузников в упаковке;</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дата (месяц, год) изготовления;</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штриховой код изделия (при наличии);</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срок годности, устанавливаемый изготовителем;</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xml:space="preserve">- правила использования (при необходимости); </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информацию о сертификации (при наличии).</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 указания по утилизации подгузника: слова "Не бросать в канализацию" и (или) рисунок, понятно отображающий эти указания.</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Допускается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32105B" w:rsidRPr="009E0EEB" w:rsidRDefault="0032105B" w:rsidP="0032105B">
      <w:pPr>
        <w:widowControl w:val="0"/>
        <w:ind w:firstLine="540"/>
        <w:contextualSpacing/>
        <w:jc w:val="both"/>
        <w:rPr>
          <w:sz w:val="22"/>
          <w:szCs w:val="22"/>
          <w:lang w:bidi="en-US"/>
        </w:rPr>
      </w:pPr>
      <w:r w:rsidRPr="009E0EEB">
        <w:rPr>
          <w:sz w:val="22"/>
          <w:szCs w:val="22"/>
          <w:lang w:bidi="en-US"/>
        </w:rPr>
        <w:t>Допускается дату изготовления (месяц, год) и срок годности дополнительно проставлять на фронтальной ленте.</w:t>
      </w:r>
    </w:p>
    <w:p w:rsidR="0032105B" w:rsidRPr="009E0EEB" w:rsidRDefault="0032105B" w:rsidP="0032105B">
      <w:pPr>
        <w:ind w:left="6" w:right="108" w:firstLine="720"/>
        <w:contextualSpacing/>
        <w:rPr>
          <w:sz w:val="22"/>
          <w:szCs w:val="22"/>
        </w:rPr>
      </w:pPr>
      <w:r w:rsidRPr="009E0EEB">
        <w:rPr>
          <w:sz w:val="22"/>
          <w:szCs w:val="22"/>
        </w:rPr>
        <w:t xml:space="preserve">Маркировка должна быть хорошо различима, без искажений и пробелов. </w:t>
      </w:r>
    </w:p>
    <w:p w:rsidR="0032105B" w:rsidRPr="009E0EEB" w:rsidRDefault="0032105B" w:rsidP="0032105B">
      <w:pPr>
        <w:tabs>
          <w:tab w:val="left" w:pos="0"/>
        </w:tabs>
        <w:ind w:firstLine="720"/>
        <w:contextualSpacing/>
        <w:jc w:val="both"/>
        <w:rPr>
          <w:rFonts w:eastAsia="Arial"/>
          <w:sz w:val="22"/>
          <w:szCs w:val="22"/>
          <w:lang w:eastAsia="ar-SA"/>
        </w:rPr>
      </w:pPr>
      <w:r w:rsidRPr="009E0EEB">
        <w:rPr>
          <w:rFonts w:eastAsia="Arial"/>
          <w:sz w:val="22"/>
          <w:szCs w:val="22"/>
          <w:lang w:eastAsia="ar-SA"/>
        </w:rPr>
        <w:t>Изделия должны быть упакованы по несколько штук в пакеты из полимерной пленки, или пачки, или коробки по ГОСТ 33781-2016, или другую тару, обеспечивающую их сохранность при транспортировании и хранении. Швы в пакетах из полимерной пленки должны быть заварены. 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w:t>
      </w:r>
    </w:p>
    <w:p w:rsidR="0032105B" w:rsidRPr="009E0EEB" w:rsidRDefault="0032105B" w:rsidP="0032105B">
      <w:pPr>
        <w:widowControl w:val="0"/>
        <w:tabs>
          <w:tab w:val="left" w:pos="0"/>
        </w:tabs>
        <w:autoSpaceDE w:val="0"/>
        <w:ind w:firstLine="709"/>
        <w:jc w:val="both"/>
        <w:rPr>
          <w:sz w:val="22"/>
          <w:szCs w:val="22"/>
        </w:rPr>
      </w:pPr>
    </w:p>
    <w:p w:rsidR="0032105B" w:rsidRPr="009E0EEB" w:rsidRDefault="0032105B" w:rsidP="0032105B">
      <w:pPr>
        <w:widowControl w:val="0"/>
        <w:tabs>
          <w:tab w:val="left" w:pos="0"/>
        </w:tabs>
        <w:autoSpaceDE w:val="0"/>
        <w:ind w:firstLine="709"/>
        <w:jc w:val="center"/>
        <w:rPr>
          <w:b/>
          <w:bCs/>
          <w:sz w:val="22"/>
          <w:szCs w:val="22"/>
        </w:rPr>
      </w:pPr>
      <w:r w:rsidRPr="009E0EEB">
        <w:rPr>
          <w:b/>
          <w:sz w:val="22"/>
          <w:szCs w:val="22"/>
        </w:rPr>
        <w:t xml:space="preserve">Требования к сроку и (или) объему предоставления гарантий </w:t>
      </w:r>
      <w:r w:rsidRPr="009E0EEB">
        <w:rPr>
          <w:b/>
          <w:bCs/>
          <w:sz w:val="22"/>
          <w:szCs w:val="22"/>
        </w:rPr>
        <w:t>товара</w:t>
      </w:r>
    </w:p>
    <w:p w:rsidR="0032105B" w:rsidRPr="009E0EEB" w:rsidRDefault="0032105B" w:rsidP="0032105B">
      <w:pPr>
        <w:tabs>
          <w:tab w:val="left" w:pos="0"/>
        </w:tabs>
        <w:contextualSpacing/>
        <w:jc w:val="both"/>
        <w:rPr>
          <w:b/>
          <w:sz w:val="22"/>
          <w:szCs w:val="22"/>
        </w:rPr>
      </w:pPr>
      <w:r w:rsidRPr="009E0EEB">
        <w:rPr>
          <w:b/>
          <w:bCs/>
          <w:sz w:val="22"/>
          <w:szCs w:val="22"/>
        </w:rPr>
        <w:tab/>
      </w:r>
      <w:r w:rsidRPr="009E0EEB">
        <w:rPr>
          <w:sz w:val="22"/>
          <w:szCs w:val="22"/>
        </w:rPr>
        <w:t xml:space="preserve">Абсорбирующее белье и подгузники являются продукцией одноразовой, в </w:t>
      </w:r>
      <w:proofErr w:type="gramStart"/>
      <w:r w:rsidRPr="009E0EEB">
        <w:rPr>
          <w:sz w:val="22"/>
          <w:szCs w:val="22"/>
        </w:rPr>
        <w:t>связи</w:t>
      </w:r>
      <w:proofErr w:type="gramEnd"/>
      <w:r w:rsidRPr="009E0EEB">
        <w:rPr>
          <w:sz w:val="22"/>
          <w:szCs w:val="22"/>
        </w:rPr>
        <w:t xml:space="preserve"> с чем срок предоставления гарантии качества не устанавливается. </w:t>
      </w:r>
      <w:r w:rsidRPr="009E0EEB">
        <w:rPr>
          <w:b/>
          <w:sz w:val="22"/>
          <w:szCs w:val="22"/>
        </w:rPr>
        <w:t>Остаточный срок годности Товара на дату выдачи должен быть не менее 1 года.</w:t>
      </w:r>
    </w:p>
    <w:p w:rsidR="0032105B" w:rsidRPr="009E0EEB" w:rsidRDefault="0032105B" w:rsidP="0032105B">
      <w:pPr>
        <w:tabs>
          <w:tab w:val="left" w:pos="0"/>
        </w:tabs>
        <w:contextualSpacing/>
        <w:jc w:val="both"/>
        <w:rPr>
          <w:b/>
          <w:sz w:val="22"/>
          <w:szCs w:val="22"/>
        </w:rPr>
      </w:pPr>
    </w:p>
    <w:p w:rsidR="0032105B" w:rsidRPr="009E0EEB" w:rsidRDefault="0032105B" w:rsidP="0032105B">
      <w:pPr>
        <w:keepNext/>
        <w:widowControl w:val="0"/>
        <w:autoSpaceDE w:val="0"/>
        <w:ind w:firstLine="709"/>
        <w:jc w:val="center"/>
        <w:rPr>
          <w:sz w:val="22"/>
          <w:szCs w:val="22"/>
        </w:rPr>
      </w:pPr>
      <w:r w:rsidRPr="009E0EEB">
        <w:rPr>
          <w:b/>
          <w:sz w:val="22"/>
          <w:szCs w:val="22"/>
        </w:rPr>
        <w:t>Место, условия и сроки поставки товара</w:t>
      </w:r>
    </w:p>
    <w:p w:rsidR="0032105B" w:rsidRPr="009E0EEB" w:rsidRDefault="0032105B" w:rsidP="0032105B">
      <w:pPr>
        <w:widowControl w:val="0"/>
        <w:autoSpaceDE w:val="0"/>
        <w:ind w:firstLine="709"/>
        <w:jc w:val="both"/>
        <w:rPr>
          <w:sz w:val="22"/>
          <w:szCs w:val="22"/>
        </w:rPr>
      </w:pPr>
      <w:r w:rsidRPr="009E0EEB">
        <w:rPr>
          <w:sz w:val="22"/>
          <w:szCs w:val="22"/>
        </w:rPr>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Контрактом. Заявка направляется Заказчиком Поставщику по адресу электронной почты, указанной Поставщиком в Контракте.</w:t>
      </w:r>
    </w:p>
    <w:p w:rsidR="0032105B" w:rsidRPr="009E0EEB" w:rsidRDefault="0032105B" w:rsidP="0032105B">
      <w:pPr>
        <w:widowControl w:val="0"/>
        <w:autoSpaceDE w:val="0"/>
        <w:ind w:firstLine="709"/>
        <w:jc w:val="both"/>
        <w:rPr>
          <w:sz w:val="22"/>
          <w:szCs w:val="22"/>
        </w:rPr>
      </w:pPr>
      <w:r w:rsidRPr="009E0EEB">
        <w:rPr>
          <w:sz w:val="22"/>
          <w:szCs w:val="22"/>
        </w:rPr>
        <w:lastRenderedPageBreak/>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32105B" w:rsidRPr="009E0EEB" w:rsidRDefault="0032105B" w:rsidP="0032105B">
      <w:pPr>
        <w:widowControl w:val="0"/>
        <w:autoSpaceDE w:val="0"/>
        <w:ind w:firstLine="709"/>
        <w:jc w:val="both"/>
        <w:rPr>
          <w:sz w:val="22"/>
          <w:szCs w:val="22"/>
        </w:rPr>
      </w:pPr>
      <w:r w:rsidRPr="009E0EEB">
        <w:rPr>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32105B" w:rsidRPr="009E0EEB" w:rsidRDefault="0032105B" w:rsidP="0032105B">
      <w:pPr>
        <w:widowControl w:val="0"/>
        <w:tabs>
          <w:tab w:val="center" w:pos="4818"/>
          <w:tab w:val="left" w:pos="6681"/>
        </w:tabs>
        <w:snapToGrid w:val="0"/>
        <w:ind w:firstLine="709"/>
        <w:jc w:val="both"/>
        <w:rPr>
          <w:sz w:val="22"/>
          <w:szCs w:val="22"/>
        </w:rPr>
      </w:pPr>
      <w:r w:rsidRPr="009E0EEB">
        <w:rPr>
          <w:sz w:val="22"/>
          <w:szCs w:val="22"/>
        </w:rPr>
        <w:t xml:space="preserve">Пункт выдачи должен быть организован не позднее 5 (пяти) рабочих дней </w:t>
      </w:r>
      <w:proofErr w:type="gramStart"/>
      <w:r w:rsidRPr="009E0EEB">
        <w:rPr>
          <w:sz w:val="22"/>
          <w:szCs w:val="22"/>
        </w:rPr>
        <w:t>с даты подписания</w:t>
      </w:r>
      <w:proofErr w:type="gramEnd"/>
      <w:r w:rsidRPr="009E0EEB">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9E0EEB">
        <w:rPr>
          <w:sz w:val="22"/>
          <w:szCs w:val="22"/>
        </w:rPr>
        <w:t>Получателей</w:t>
      </w:r>
      <w:proofErr w:type="gramEnd"/>
      <w:r w:rsidRPr="009E0EEB">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32105B" w:rsidRPr="009E0EEB" w:rsidRDefault="0032105B" w:rsidP="0032105B">
      <w:pPr>
        <w:widowControl w:val="0"/>
        <w:autoSpaceDE w:val="0"/>
        <w:ind w:firstLine="709"/>
        <w:jc w:val="both"/>
        <w:rPr>
          <w:sz w:val="22"/>
          <w:szCs w:val="22"/>
        </w:rPr>
      </w:pPr>
      <w:r w:rsidRPr="009E0EEB">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32105B" w:rsidRPr="009E0EEB" w:rsidRDefault="0032105B" w:rsidP="0032105B">
      <w:pPr>
        <w:widowControl w:val="0"/>
        <w:autoSpaceDE w:val="0"/>
        <w:ind w:firstLine="709"/>
        <w:jc w:val="both"/>
        <w:rPr>
          <w:sz w:val="22"/>
          <w:szCs w:val="22"/>
        </w:rPr>
      </w:pPr>
      <w:r w:rsidRPr="009E0EEB">
        <w:rPr>
          <w:sz w:val="22"/>
          <w:szCs w:val="22"/>
        </w:rPr>
        <w:t xml:space="preserve">Пункт выдачи должен быть оборудован камерами </w:t>
      </w:r>
      <w:proofErr w:type="spellStart"/>
      <w:r w:rsidRPr="009E0EEB">
        <w:rPr>
          <w:sz w:val="22"/>
          <w:szCs w:val="22"/>
        </w:rPr>
        <w:t>видеофиксации</w:t>
      </w:r>
      <w:proofErr w:type="spellEnd"/>
      <w:r w:rsidRPr="009E0EEB">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32105B" w:rsidRPr="009E0EEB" w:rsidRDefault="0032105B" w:rsidP="0032105B">
      <w:pPr>
        <w:widowControl w:val="0"/>
        <w:autoSpaceDE w:val="0"/>
        <w:ind w:firstLine="709"/>
        <w:jc w:val="both"/>
        <w:rPr>
          <w:sz w:val="22"/>
          <w:szCs w:val="22"/>
        </w:rPr>
      </w:pPr>
      <w:r w:rsidRPr="009E0EEB">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32105B" w:rsidRPr="009E0EEB" w:rsidRDefault="0032105B" w:rsidP="0032105B">
      <w:pPr>
        <w:widowControl w:val="0"/>
        <w:autoSpaceDE w:val="0"/>
        <w:ind w:firstLine="709"/>
        <w:jc w:val="both"/>
        <w:rPr>
          <w:sz w:val="22"/>
          <w:szCs w:val="22"/>
        </w:rPr>
      </w:pPr>
      <w:r w:rsidRPr="009E0EEB">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32105B" w:rsidRPr="009E0EEB" w:rsidRDefault="0032105B" w:rsidP="0032105B">
      <w:pPr>
        <w:widowControl w:val="0"/>
        <w:autoSpaceDE w:val="0"/>
        <w:ind w:firstLine="709"/>
        <w:jc w:val="both"/>
        <w:rPr>
          <w:sz w:val="22"/>
          <w:szCs w:val="22"/>
        </w:rPr>
      </w:pPr>
      <w:r w:rsidRPr="009E0EEB">
        <w:rPr>
          <w:sz w:val="22"/>
          <w:szCs w:val="22"/>
        </w:rPr>
        <w:t>В случае выбора Получателем способа получения Изделия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32105B" w:rsidRPr="009E0EEB" w:rsidRDefault="0032105B" w:rsidP="0032105B">
      <w:pPr>
        <w:widowControl w:val="0"/>
        <w:autoSpaceDE w:val="0"/>
        <w:ind w:firstLine="709"/>
        <w:jc w:val="both"/>
        <w:rPr>
          <w:sz w:val="22"/>
          <w:szCs w:val="22"/>
        </w:rPr>
      </w:pPr>
      <w:r w:rsidRPr="009E0EEB">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32105B" w:rsidRPr="009E0EEB" w:rsidRDefault="0032105B" w:rsidP="0032105B">
      <w:pPr>
        <w:widowControl w:val="0"/>
        <w:autoSpaceDE w:val="0"/>
        <w:ind w:firstLine="709"/>
        <w:jc w:val="both"/>
        <w:rPr>
          <w:sz w:val="22"/>
          <w:szCs w:val="22"/>
        </w:rPr>
      </w:pPr>
      <w:r w:rsidRPr="009E0EEB">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32105B" w:rsidRPr="009E0EEB" w:rsidRDefault="0032105B" w:rsidP="0032105B">
      <w:pPr>
        <w:widowControl w:val="0"/>
        <w:autoSpaceDE w:val="0"/>
        <w:ind w:firstLine="709"/>
        <w:jc w:val="both"/>
        <w:rPr>
          <w:sz w:val="22"/>
          <w:szCs w:val="22"/>
        </w:rPr>
      </w:pPr>
      <w:r w:rsidRPr="009E0EEB">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32105B" w:rsidRPr="009E0EEB" w:rsidRDefault="0032105B" w:rsidP="0032105B">
      <w:pPr>
        <w:widowControl w:val="0"/>
        <w:ind w:firstLine="709"/>
        <w:jc w:val="both"/>
        <w:rPr>
          <w:bCs/>
          <w:sz w:val="22"/>
          <w:szCs w:val="22"/>
        </w:rPr>
      </w:pPr>
    </w:p>
    <w:p w:rsidR="0032105B" w:rsidRPr="009E0EEB" w:rsidRDefault="0032105B" w:rsidP="0032105B">
      <w:pPr>
        <w:widowControl w:val="0"/>
        <w:ind w:firstLine="709"/>
        <w:jc w:val="both"/>
        <w:rPr>
          <w:sz w:val="22"/>
          <w:szCs w:val="22"/>
        </w:rPr>
      </w:pPr>
      <w:r w:rsidRPr="009E0EEB">
        <w:rPr>
          <w:bCs/>
          <w:sz w:val="22"/>
          <w:szCs w:val="22"/>
        </w:rPr>
        <w:t xml:space="preserve">Срок поставки Товара Получателям: </w:t>
      </w:r>
      <w:r w:rsidRPr="009E0EEB">
        <w:rPr>
          <w:b/>
          <w:bCs/>
          <w:sz w:val="22"/>
          <w:szCs w:val="22"/>
        </w:rPr>
        <w:t>по 30.11.2020 г. включительно.</w:t>
      </w:r>
    </w:p>
    <w:p w:rsidR="0032105B" w:rsidRPr="009E0EEB" w:rsidRDefault="0032105B" w:rsidP="0032105B">
      <w:pPr>
        <w:widowControl w:val="0"/>
        <w:ind w:firstLine="709"/>
        <w:contextualSpacing/>
        <w:jc w:val="both"/>
        <w:rPr>
          <w:sz w:val="22"/>
          <w:szCs w:val="22"/>
        </w:rPr>
      </w:pPr>
    </w:p>
    <w:p w:rsidR="0032105B" w:rsidRPr="009E0EEB" w:rsidRDefault="0032105B" w:rsidP="0032105B">
      <w:pPr>
        <w:widowControl w:val="0"/>
        <w:ind w:firstLine="709"/>
        <w:jc w:val="both"/>
        <w:rPr>
          <w:sz w:val="22"/>
          <w:szCs w:val="22"/>
        </w:rPr>
      </w:pPr>
      <w:r w:rsidRPr="009E0EEB">
        <w:rPr>
          <w:b/>
          <w:bCs/>
          <w:sz w:val="22"/>
          <w:szCs w:val="22"/>
        </w:rPr>
        <w:t>Источник финансирования:</w:t>
      </w:r>
      <w:r w:rsidRPr="009E0EEB">
        <w:rPr>
          <w:bCs/>
          <w:sz w:val="22"/>
          <w:szCs w:val="22"/>
        </w:rPr>
        <w:t xml:space="preserve"> </w:t>
      </w:r>
      <w:r w:rsidRPr="009E0EEB">
        <w:rPr>
          <w:sz w:val="22"/>
          <w:szCs w:val="22"/>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32105B" w:rsidRPr="009E0EEB" w:rsidRDefault="0032105B" w:rsidP="0032105B">
      <w:pPr>
        <w:ind w:firstLine="284"/>
        <w:contextualSpacing/>
        <w:jc w:val="both"/>
        <w:rPr>
          <w:bCs/>
          <w:sz w:val="22"/>
          <w:szCs w:val="22"/>
        </w:rPr>
      </w:pPr>
    </w:p>
    <w:p w:rsidR="0032105B" w:rsidRPr="009E0EEB" w:rsidRDefault="0032105B" w:rsidP="0032105B">
      <w:pPr>
        <w:widowControl w:val="0"/>
        <w:ind w:firstLine="426"/>
        <w:jc w:val="both"/>
        <w:rPr>
          <w:sz w:val="22"/>
          <w:szCs w:val="22"/>
        </w:rPr>
      </w:pPr>
      <w:r w:rsidRPr="009E0EEB">
        <w:rPr>
          <w:sz w:val="22"/>
          <w:szCs w:val="22"/>
        </w:rPr>
        <w:t>КБК 393 1003 0420239570 323 263</w:t>
      </w:r>
    </w:p>
    <w:p w:rsidR="0032105B" w:rsidRPr="009E0EEB" w:rsidRDefault="0032105B" w:rsidP="0032105B">
      <w:pPr>
        <w:widowControl w:val="0"/>
        <w:ind w:firstLine="426"/>
        <w:jc w:val="both"/>
        <w:rPr>
          <w:sz w:val="22"/>
          <w:szCs w:val="22"/>
        </w:rPr>
      </w:pPr>
      <w:r w:rsidRPr="009E0EEB">
        <w:rPr>
          <w:sz w:val="22"/>
          <w:szCs w:val="22"/>
        </w:rPr>
        <w:t>ОКПД</w:t>
      </w:r>
      <w:proofErr w:type="gramStart"/>
      <w:r w:rsidRPr="009E0EEB">
        <w:rPr>
          <w:sz w:val="22"/>
          <w:szCs w:val="22"/>
        </w:rPr>
        <w:t>2</w:t>
      </w:r>
      <w:proofErr w:type="gramEnd"/>
      <w:r w:rsidRPr="009E0EEB">
        <w:rPr>
          <w:sz w:val="22"/>
          <w:szCs w:val="22"/>
        </w:rPr>
        <w:t>: 17.22.12.120 - Подгузники и пеленки детские из бумажной массы, бумаги, целлюлозной ваты и полотна из целлюлозных волокон.</w:t>
      </w:r>
    </w:p>
    <w:p w:rsidR="0032105B" w:rsidRPr="009E0EEB" w:rsidRDefault="0032105B" w:rsidP="0032105B">
      <w:pPr>
        <w:widowControl w:val="0"/>
        <w:ind w:firstLine="426"/>
        <w:jc w:val="both"/>
        <w:rPr>
          <w:sz w:val="22"/>
          <w:szCs w:val="22"/>
        </w:rPr>
      </w:pPr>
      <w:r w:rsidRPr="009E0EEB">
        <w:rPr>
          <w:sz w:val="22"/>
          <w:szCs w:val="22"/>
        </w:rPr>
        <w:t>Код позиции КТРУ 17.22.12.120-00000001 - Подгузники детские</w:t>
      </w:r>
    </w:p>
    <w:p w:rsidR="0032105B" w:rsidRPr="009E0EEB" w:rsidRDefault="0032105B" w:rsidP="0032105B">
      <w:pPr>
        <w:widowControl w:val="0"/>
        <w:ind w:firstLine="426"/>
        <w:jc w:val="both"/>
        <w:rPr>
          <w:sz w:val="22"/>
          <w:szCs w:val="22"/>
        </w:rPr>
      </w:pPr>
      <w:r w:rsidRPr="009E0EEB">
        <w:rPr>
          <w:sz w:val="22"/>
          <w:szCs w:val="22"/>
        </w:rPr>
        <w:t>КОЗ несколько:</w:t>
      </w:r>
    </w:p>
    <w:p w:rsidR="0032105B" w:rsidRPr="009E0EEB" w:rsidRDefault="0032105B" w:rsidP="0032105B">
      <w:pPr>
        <w:widowControl w:val="0"/>
        <w:ind w:firstLine="426"/>
        <w:jc w:val="both"/>
        <w:rPr>
          <w:sz w:val="22"/>
          <w:szCs w:val="22"/>
        </w:rPr>
      </w:pPr>
      <w:r w:rsidRPr="009E0EEB">
        <w:rPr>
          <w:sz w:val="22"/>
          <w:szCs w:val="22"/>
        </w:rPr>
        <w:t>01.28.22.01.16 Подгузники для детей-инвалидов весом до 9 кг</w:t>
      </w:r>
    </w:p>
    <w:p w:rsidR="0032105B" w:rsidRPr="009E0EEB" w:rsidRDefault="0032105B" w:rsidP="0032105B">
      <w:pPr>
        <w:widowControl w:val="0"/>
        <w:ind w:firstLine="426"/>
        <w:jc w:val="both"/>
        <w:rPr>
          <w:sz w:val="22"/>
          <w:szCs w:val="22"/>
        </w:rPr>
      </w:pPr>
      <w:r w:rsidRPr="009E0EEB">
        <w:rPr>
          <w:sz w:val="22"/>
          <w:szCs w:val="22"/>
        </w:rPr>
        <w:t xml:space="preserve">01.28.22.01.17 Подгузники для детей-инвалидов весом до 20 кг   </w:t>
      </w:r>
    </w:p>
    <w:p w:rsidR="0032105B" w:rsidRPr="009E0EEB" w:rsidRDefault="0032105B" w:rsidP="0032105B">
      <w:pPr>
        <w:widowControl w:val="0"/>
        <w:ind w:firstLine="426"/>
        <w:jc w:val="both"/>
        <w:rPr>
          <w:sz w:val="22"/>
          <w:szCs w:val="22"/>
        </w:rPr>
      </w:pPr>
      <w:r w:rsidRPr="009E0EEB">
        <w:rPr>
          <w:sz w:val="22"/>
          <w:szCs w:val="22"/>
        </w:rPr>
        <w:t>01.28.22.01.18 Подгузники для детей-инвалидов весом свыше 20 кг</w:t>
      </w:r>
    </w:p>
    <w:p w:rsidR="00D9727B" w:rsidRDefault="00D9727B" w:rsidP="0032105B"/>
    <w:sectPr w:rsidR="00D9727B" w:rsidSect="0032105B">
      <w:pgSz w:w="11906" w:h="16838"/>
      <w:pgMar w:top="567"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B"/>
    <w:rsid w:val="0032105B"/>
    <w:rsid w:val="00D9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5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2105B"/>
    <w:pPr>
      <w:keepNext/>
      <w:widowControl w:val="0"/>
      <w:shd w:val="clear" w:color="auto" w:fill="FFFFFF"/>
      <w:tabs>
        <w:tab w:val="left" w:pos="0"/>
      </w:tabs>
      <w:suppressAutoHyphens/>
      <w:autoSpaceDE w:val="0"/>
      <w:spacing w:before="60" w:after="60"/>
      <w:jc w:val="center"/>
      <w:outlineLvl w:val="5"/>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2105B"/>
    <w:rPr>
      <w:rFonts w:ascii="Times New Roman" w:eastAsia="Times New Roman" w:hAnsi="Times New Roman" w:cs="Times New Roman"/>
      <w:b/>
      <w:sz w:val="16"/>
      <w:szCs w:val="26"/>
      <w:shd w:val="clear" w:color="auto" w:fill="FFFFFF"/>
      <w:lang w:eastAsia="zh-CN"/>
    </w:rPr>
  </w:style>
  <w:style w:type="paragraph" w:customStyle="1" w:styleId="ConsPlusNormal">
    <w:name w:val="ConsPlusNormal"/>
    <w:qFormat/>
    <w:rsid w:val="003210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uiPriority w:val="99"/>
    <w:qFormat/>
    <w:rsid w:val="0032105B"/>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1"/>
    <w:basedOn w:val="a0"/>
    <w:link w:val="a3"/>
    <w:uiPriority w:val="99"/>
    <w:rsid w:val="0032105B"/>
    <w:rPr>
      <w:rFonts w:ascii="Times New Roman" w:eastAsia="Times New Roman" w:hAnsi="Times New Roman" w:cs="Times New Roman"/>
      <w:sz w:val="23"/>
      <w:szCs w:val="24"/>
      <w:lang w:eastAsia="ru-RU"/>
    </w:rPr>
  </w:style>
  <w:style w:type="character" w:customStyle="1" w:styleId="FontStyle63">
    <w:name w:val="Font Style63"/>
    <w:basedOn w:val="a0"/>
    <w:uiPriority w:val="99"/>
    <w:rsid w:val="0032105B"/>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5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32105B"/>
    <w:pPr>
      <w:keepNext/>
      <w:widowControl w:val="0"/>
      <w:shd w:val="clear" w:color="auto" w:fill="FFFFFF"/>
      <w:tabs>
        <w:tab w:val="left" w:pos="0"/>
      </w:tabs>
      <w:suppressAutoHyphens/>
      <w:autoSpaceDE w:val="0"/>
      <w:spacing w:before="60" w:after="60"/>
      <w:jc w:val="center"/>
      <w:outlineLvl w:val="5"/>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2105B"/>
    <w:rPr>
      <w:rFonts w:ascii="Times New Roman" w:eastAsia="Times New Roman" w:hAnsi="Times New Roman" w:cs="Times New Roman"/>
      <w:b/>
      <w:sz w:val="16"/>
      <w:szCs w:val="26"/>
      <w:shd w:val="clear" w:color="auto" w:fill="FFFFFF"/>
      <w:lang w:eastAsia="zh-CN"/>
    </w:rPr>
  </w:style>
  <w:style w:type="paragraph" w:customStyle="1" w:styleId="ConsPlusNormal">
    <w:name w:val="ConsPlusNormal"/>
    <w:qFormat/>
    <w:rsid w:val="003210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aliases w:val="текст"/>
    <w:basedOn w:val="a"/>
    <w:link w:val="a4"/>
    <w:uiPriority w:val="99"/>
    <w:qFormat/>
    <w:rsid w:val="0032105B"/>
    <w:pPr>
      <w:widowControl w:val="0"/>
      <w:suppressAutoHyphens/>
      <w:autoSpaceDE w:val="0"/>
      <w:autoSpaceDN w:val="0"/>
      <w:adjustRightInd w:val="0"/>
      <w:ind w:firstLine="360"/>
      <w:jc w:val="both"/>
    </w:pPr>
    <w:rPr>
      <w:sz w:val="23"/>
    </w:rPr>
  </w:style>
  <w:style w:type="character" w:customStyle="1" w:styleId="a4">
    <w:name w:val="Основной текст с отступом Знак"/>
    <w:aliases w:val="текст Знак1"/>
    <w:basedOn w:val="a0"/>
    <w:link w:val="a3"/>
    <w:uiPriority w:val="99"/>
    <w:rsid w:val="0032105B"/>
    <w:rPr>
      <w:rFonts w:ascii="Times New Roman" w:eastAsia="Times New Roman" w:hAnsi="Times New Roman" w:cs="Times New Roman"/>
      <w:sz w:val="23"/>
      <w:szCs w:val="24"/>
      <w:lang w:eastAsia="ru-RU"/>
    </w:rPr>
  </w:style>
  <w:style w:type="character" w:customStyle="1" w:styleId="FontStyle63">
    <w:name w:val="Font Style63"/>
    <w:basedOn w:val="a0"/>
    <w:uiPriority w:val="99"/>
    <w:rsid w:val="0032105B"/>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Брусенцов Виктор Геннадьевич</dc:creator>
  <cp:lastModifiedBy>Брусенцов Виктор Геннадьевич</cp:lastModifiedBy>
  <cp:revision>1</cp:revision>
  <dcterms:created xsi:type="dcterms:W3CDTF">2020-08-07T08:32:00Z</dcterms:created>
  <dcterms:modified xsi:type="dcterms:W3CDTF">2020-08-07T08:34:00Z</dcterms:modified>
</cp:coreProperties>
</file>