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1A" w:rsidRPr="00785B1A" w:rsidRDefault="00785B1A" w:rsidP="00785B1A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lang w:eastAsia="ar-SA"/>
        </w:rPr>
      </w:pPr>
    </w:p>
    <w:p w:rsidR="00785B1A" w:rsidRPr="00785B1A" w:rsidRDefault="00785B1A" w:rsidP="00785B1A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lang w:eastAsia="ar-SA"/>
        </w:rPr>
      </w:pPr>
    </w:p>
    <w:p w:rsidR="00785B1A" w:rsidRPr="00785B1A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85B1A" w:rsidRPr="00785B1A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</w:t>
      </w:r>
    </w:p>
    <w:p w:rsidR="00785B1A" w:rsidRPr="00785B1A" w:rsidRDefault="00785B1A" w:rsidP="00785B1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/>
          <w:bCs/>
          <w:lang w:eastAsia="ar-SA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протезами и протезно-ортопедическими изделиями</w:t>
      </w:r>
    </w:p>
    <w:p w:rsidR="00785B1A" w:rsidRPr="00785B1A" w:rsidRDefault="00785B1A" w:rsidP="00785B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B1A" w:rsidRPr="00785B1A" w:rsidRDefault="00785B1A" w:rsidP="00785B1A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lang w:eastAsia="ar-SA"/>
        </w:rPr>
      </w:pPr>
      <w:r w:rsidRPr="00785B1A">
        <w:rPr>
          <w:rFonts w:ascii="Times New Roman" w:eastAsia="Times New Roman CYR" w:hAnsi="Times New Roman" w:cs="Times New Roman"/>
          <w:b/>
          <w:bCs/>
          <w:color w:val="000000"/>
          <w:lang w:eastAsia="ar-SA"/>
        </w:rPr>
        <w:t xml:space="preserve">Способ определения поставщика: </w:t>
      </w:r>
      <w:r w:rsidRPr="00785B1A">
        <w:rPr>
          <w:rFonts w:ascii="Times New Roman" w:eastAsia="Times New Roman CYR" w:hAnsi="Times New Roman" w:cs="Times New Roman"/>
          <w:lang w:eastAsia="ar-SA"/>
        </w:rPr>
        <w:t>аукцион в электронной форме.</w:t>
      </w:r>
    </w:p>
    <w:p w:rsidR="00785B1A" w:rsidRPr="00785B1A" w:rsidRDefault="00785B1A" w:rsidP="00785B1A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lang w:eastAsia="ru-RU"/>
        </w:rPr>
        <w:t>Предмет государственного контракта:</w:t>
      </w:r>
      <w:r w:rsidRPr="00785B1A">
        <w:rPr>
          <w:rFonts w:ascii="Times New Roman" w:eastAsia="Times New Roman" w:hAnsi="Times New Roman" w:cs="Times New Roman"/>
          <w:lang w:eastAsia="ru-RU"/>
        </w:rPr>
        <w:t xml:space="preserve">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 </w:t>
      </w:r>
      <w:r>
        <w:rPr>
          <w:rFonts w:ascii="Times New Roman" w:eastAsia="Times New Roman" w:hAnsi="Times New Roman" w:cs="Times New Roman"/>
          <w:lang w:eastAsia="ru-RU"/>
        </w:rPr>
        <w:t xml:space="preserve">протезами и </w:t>
      </w:r>
      <w:r w:rsidRPr="00785B1A">
        <w:rPr>
          <w:rFonts w:ascii="Times New Roman" w:eastAsia="Times New Roman" w:hAnsi="Times New Roman" w:cs="Times New Roman"/>
          <w:lang w:eastAsia="ru-RU"/>
        </w:rPr>
        <w:t xml:space="preserve">протезно-ортопедическими изделиями в 2020 году: </w:t>
      </w:r>
      <w:r w:rsidR="00DC4563" w:rsidRPr="009F1C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Протез </w:t>
      </w:r>
      <w:r w:rsidR="00DC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бедра</w:t>
      </w:r>
      <w:r w:rsidR="00DC4563" w:rsidRPr="009F1C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модульный</w:t>
      </w:r>
      <w:r w:rsidR="00DC45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в том числе при врожденном недоразвитии и</w:t>
      </w:r>
      <w:r w:rsidR="00417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176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протез бедра для купания.</w:t>
      </w:r>
    </w:p>
    <w:p w:rsidR="00813B8D" w:rsidRPr="009F1CFC" w:rsidRDefault="00813B8D" w:rsidP="00E314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31" w:tblpY="7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6438"/>
        <w:gridCol w:w="1560"/>
      </w:tblGrid>
      <w:tr w:rsidR="00910505" w:rsidRPr="009F1CFC" w:rsidTr="00910505">
        <w:tc>
          <w:tcPr>
            <w:tcW w:w="1555" w:type="dxa"/>
          </w:tcPr>
          <w:p w:rsidR="00910505" w:rsidRPr="009F1CFC" w:rsidRDefault="00910505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10505" w:rsidRPr="009F1CFC" w:rsidRDefault="00910505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  <w:p w:rsidR="00910505" w:rsidRPr="009F1CFC" w:rsidRDefault="00910505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38" w:type="dxa"/>
            <w:shd w:val="clear" w:color="auto" w:fill="auto"/>
          </w:tcPr>
          <w:p w:rsidR="00910505" w:rsidRPr="009F1CFC" w:rsidRDefault="00910505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560" w:type="dxa"/>
            <w:shd w:val="clear" w:color="auto" w:fill="auto"/>
          </w:tcPr>
          <w:p w:rsidR="00910505" w:rsidRPr="009F1CFC" w:rsidRDefault="00910505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(шт.)</w:t>
            </w:r>
          </w:p>
        </w:tc>
      </w:tr>
      <w:tr w:rsidR="00910505" w:rsidRPr="009F1CFC" w:rsidTr="00910505">
        <w:trPr>
          <w:trHeight w:val="3806"/>
        </w:trPr>
        <w:tc>
          <w:tcPr>
            <w:tcW w:w="1555" w:type="dxa"/>
          </w:tcPr>
          <w:p w:rsidR="00910505" w:rsidRPr="009F1CFC" w:rsidRDefault="00910505" w:rsidP="00AD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Протез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бедра</w:t>
            </w:r>
            <w:r w:rsidRPr="009F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модульный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том числе при врожденном недоразвитии </w:t>
            </w:r>
          </w:p>
          <w:p w:rsidR="00910505" w:rsidRPr="009F1CFC" w:rsidRDefault="00910505" w:rsidP="00AD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8" w:type="dxa"/>
            <w:shd w:val="clear" w:color="auto" w:fill="auto"/>
          </w:tcPr>
          <w:p w:rsidR="00910505" w:rsidRDefault="00910505" w:rsidP="005D7A47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Протез бедра модульный, в том числе при недоразвитии для пациентов 2-3 с уровнем активности </w:t>
            </w:r>
          </w:p>
          <w:p w:rsidR="00910505" w:rsidRDefault="00910505" w:rsidP="00C568C2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Примерочная гильза из термопласта выполненная по индивидуальному слепку (2шт). Постоянная приемная гильза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скелетированная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выполнена по гипсовой копии из слоистого пластика. Наполнитель-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углеволокно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связущий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-акриловая смола. Контактное дно должно быть изготовлено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пластазота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путем формирования по культе пациента. Коленный модуль полицентрический должен быть шестизвенный, обеспечивать пациенту плавную естественную походку. Гидравлическая система должна иметь плавный перенос. Дополнительная возможность-замок коленного модуля. Торсионный РСУ должен гасить ротационные  нагрузки, чтобы значительно повышать комфорт передвижения, как в замкнутых пространствах, так и при движении по нервной поверхности. Возможность изменения высоты каблука от 0 до 3,5 см.  Косметическая оболочка протеза модульная пенополиуретановая-1шт. Облицовочный чулок перлоновый-1шт. В комплект протеза входят чехлы шерстяные-8 шт. Тип протеза постоянный.   </w:t>
            </w:r>
          </w:p>
          <w:p w:rsidR="00910505" w:rsidRDefault="00910505" w:rsidP="00C568C2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910505" w:rsidRPr="008C3827" w:rsidRDefault="00910505" w:rsidP="00C568C2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Соответствует требованиям: ГОСТ Р 51632-2014 (разд. 4,5), ГОСТ ИСО 22523-2007, ГОСТ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ISO</w:t>
            </w:r>
            <w:r w:rsidRPr="008C3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10993-1-2011, ГОСТ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10993-5-2011, ГОСТ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10993-10-2011, ГОСТ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10993-11-2011, ГОСТ </w:t>
            </w:r>
            <w:r w:rsidRPr="008C3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 52770-2007.</w:t>
            </w:r>
          </w:p>
        </w:tc>
        <w:tc>
          <w:tcPr>
            <w:tcW w:w="1560" w:type="dxa"/>
            <w:shd w:val="clear" w:color="auto" w:fill="auto"/>
          </w:tcPr>
          <w:p w:rsidR="00910505" w:rsidRPr="009F1CFC" w:rsidRDefault="00910505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10505" w:rsidRPr="009F1CFC" w:rsidTr="00910505">
        <w:tc>
          <w:tcPr>
            <w:tcW w:w="1555" w:type="dxa"/>
          </w:tcPr>
          <w:p w:rsidR="00910505" w:rsidRPr="009F1CFC" w:rsidRDefault="00910505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Протез бедра для купания</w:t>
            </w:r>
          </w:p>
        </w:tc>
        <w:tc>
          <w:tcPr>
            <w:tcW w:w="6438" w:type="dxa"/>
            <w:shd w:val="clear" w:color="auto" w:fill="auto"/>
          </w:tcPr>
          <w:p w:rsidR="00910505" w:rsidRDefault="00910505" w:rsidP="00041AF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5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Протез</w:t>
            </w:r>
            <w:r w:rsidRPr="00DC45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бедра для купания. Пробная приемная гильза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термолина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(2шт). Постоянная приемная гильза по слепку из литьевого слоистого пластика на основе акриловых смол. В качестве вкладного элемента должен быть полимерный чехол силиконовый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высоким уровнем поглощения динамических нагрузок (2шт). Коленный шарнир должен быть с улучшенной функцией контролируемого подгибания колена при опоре на пятку и гидравлическим управлением в фазе переноса.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Регулировачно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-соединительные устройства должны      соответствовать весу пациента. Стопа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каблучная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подошва стопы  должен иметь решетчатый профиль и благодаря специальной композиции применяемых материалов и форме, обладать очень хорошей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сцепляемостью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 опорной поверхностью, предотвращающий проскальзывание по мокрой поверхности. Крепление протеза с использованием замка для лайнер.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Максимальный вес пациента до 150 кг.</w:t>
            </w:r>
          </w:p>
          <w:p w:rsidR="00910505" w:rsidRDefault="00910505" w:rsidP="002B1309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Гарантийный срок – 12 месяцев.</w:t>
            </w:r>
          </w:p>
          <w:p w:rsidR="00910505" w:rsidRPr="00417628" w:rsidRDefault="00910505" w:rsidP="00417628">
            <w:pPr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Соответствует требованиям: ГОСТ Р 51632-2014 (разд. 4,5), ГОСТ ИСО 22523-2007, ГОСТ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ISO</w:t>
            </w:r>
            <w:r w:rsidRPr="008C3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10993-1-2011, ГОСТ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10993-5-2011, ГОСТ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10993-10-2011, ГОСТ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10993-11-2011, ГОСТ </w:t>
            </w:r>
            <w:r w:rsidRPr="008C38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 52770-2007.</w:t>
            </w:r>
          </w:p>
        </w:tc>
        <w:tc>
          <w:tcPr>
            <w:tcW w:w="1560" w:type="dxa"/>
            <w:shd w:val="clear" w:color="auto" w:fill="auto"/>
          </w:tcPr>
          <w:p w:rsidR="00910505" w:rsidRDefault="00910505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910505" w:rsidRPr="009F1CFC" w:rsidTr="00910505">
        <w:tc>
          <w:tcPr>
            <w:tcW w:w="1555" w:type="dxa"/>
          </w:tcPr>
          <w:p w:rsidR="00910505" w:rsidRPr="009F1CFC" w:rsidRDefault="00910505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38" w:type="dxa"/>
            <w:shd w:val="clear" w:color="auto" w:fill="auto"/>
          </w:tcPr>
          <w:p w:rsidR="00910505" w:rsidRPr="009F1CFC" w:rsidRDefault="00910505" w:rsidP="00EE0E75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Итого: </w:t>
            </w:r>
          </w:p>
        </w:tc>
        <w:tc>
          <w:tcPr>
            <w:tcW w:w="1560" w:type="dxa"/>
            <w:shd w:val="clear" w:color="auto" w:fill="auto"/>
          </w:tcPr>
          <w:p w:rsidR="00910505" w:rsidRPr="009F1CFC" w:rsidRDefault="00910505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</w:tbl>
    <w:p w:rsidR="00E31486" w:rsidRPr="009F1CFC" w:rsidRDefault="00E31486" w:rsidP="00E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505" w:rsidRDefault="00417628" w:rsidP="00417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785B1A" w:rsidRPr="00785B1A" w:rsidRDefault="00417628" w:rsidP="00417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785B1A"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Источник финансирования заказа: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Фонда социального </w:t>
      </w:r>
      <w:r w:rsidR="00785B1A" w:rsidRPr="0078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785B1A" w:rsidRPr="00785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B1A" w:rsidRPr="00785B1A" w:rsidRDefault="00417628" w:rsidP="0041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625FE3" w:rsidRPr="00625FE3" w:rsidRDefault="00417628" w:rsidP="0041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910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85B1A" w:rsidRPr="00785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.Место, условия и сроки (периоды) поставки товара, выполнения работ, оказания услуг: </w:t>
      </w:r>
      <w:r w:rsidR="00625FE3" w:rsidRPr="0062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="0038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работ</w:t>
      </w:r>
      <w:r w:rsidR="00B5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Дальневосточный федеральный округа</w:t>
      </w:r>
      <w:r w:rsidR="00184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месту нахождения исполнителя </w:t>
      </w:r>
      <w:r w:rsidR="00625FE3" w:rsidRPr="0062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30 (тридцати) календарных дней </w:t>
      </w:r>
      <w:proofErr w:type="gramStart"/>
      <w:r w:rsidR="00625FE3" w:rsidRPr="0062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обращения</w:t>
      </w:r>
      <w:proofErr w:type="gramEnd"/>
      <w:r w:rsidR="00625FE3" w:rsidRPr="00625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к Исполнителю с Направлением, выданным Заказчиком, но не позднее 30 октября 2020г.</w:t>
      </w:r>
    </w:p>
    <w:p w:rsidR="003848B3" w:rsidRPr="003848B3" w:rsidRDefault="003848B3" w:rsidP="003848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D" w:rsidRPr="00ED0AD7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266AD" w:rsidRPr="009F1CFC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057" w:rsidRPr="009F1CFC" w:rsidRDefault="001D7057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57" w:rsidRPr="009F1CFC" w:rsidRDefault="001D7057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57" w:rsidRPr="009F1CFC" w:rsidRDefault="001D7057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8" w:rsidRPr="00D266AD" w:rsidRDefault="00C26088" w:rsidP="00D266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26088" w:rsidRPr="00D266AD" w:rsidSect="00050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  <w:sz w:val="26"/>
      </w:rPr>
    </w:lvl>
  </w:abstractNum>
  <w:abstractNum w:abstractNumId="1">
    <w:nsid w:val="0A186BC5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D47"/>
    <w:multiLevelType w:val="multilevel"/>
    <w:tmpl w:val="267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2350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10450"/>
    <w:multiLevelType w:val="hybridMultilevel"/>
    <w:tmpl w:val="1E946C36"/>
    <w:lvl w:ilvl="0" w:tplc="010C86C8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0176AF"/>
    <w:multiLevelType w:val="hybridMultilevel"/>
    <w:tmpl w:val="1B9C91D6"/>
    <w:lvl w:ilvl="0" w:tplc="C816AFE2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9EC7EA0"/>
    <w:multiLevelType w:val="hybridMultilevel"/>
    <w:tmpl w:val="11B0CA68"/>
    <w:lvl w:ilvl="0" w:tplc="3B36EFEE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EE22E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C44D5"/>
    <w:multiLevelType w:val="multilevel"/>
    <w:tmpl w:val="CC4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321FD"/>
    <w:multiLevelType w:val="hybridMultilevel"/>
    <w:tmpl w:val="50DC6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A7438D"/>
    <w:multiLevelType w:val="multilevel"/>
    <w:tmpl w:val="638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B"/>
    <w:rsid w:val="00041AF8"/>
    <w:rsid w:val="00044D71"/>
    <w:rsid w:val="00050B2A"/>
    <w:rsid w:val="00064875"/>
    <w:rsid w:val="000A0270"/>
    <w:rsid w:val="000D188F"/>
    <w:rsid w:val="00184403"/>
    <w:rsid w:val="001D7057"/>
    <w:rsid w:val="002307C8"/>
    <w:rsid w:val="002B1309"/>
    <w:rsid w:val="002D5E0E"/>
    <w:rsid w:val="00331084"/>
    <w:rsid w:val="00340AEA"/>
    <w:rsid w:val="003848B3"/>
    <w:rsid w:val="00417628"/>
    <w:rsid w:val="004653A6"/>
    <w:rsid w:val="004F0338"/>
    <w:rsid w:val="00535385"/>
    <w:rsid w:val="005858A4"/>
    <w:rsid w:val="005A1779"/>
    <w:rsid w:val="005D0227"/>
    <w:rsid w:val="005D2F0D"/>
    <w:rsid w:val="005D76A7"/>
    <w:rsid w:val="005D7A47"/>
    <w:rsid w:val="005F301B"/>
    <w:rsid w:val="006165CC"/>
    <w:rsid w:val="00625FE3"/>
    <w:rsid w:val="00633790"/>
    <w:rsid w:val="0067439F"/>
    <w:rsid w:val="006A0E0B"/>
    <w:rsid w:val="006A5983"/>
    <w:rsid w:val="006E71B6"/>
    <w:rsid w:val="00725BAD"/>
    <w:rsid w:val="00733D8B"/>
    <w:rsid w:val="00785B1A"/>
    <w:rsid w:val="007E4F27"/>
    <w:rsid w:val="00813B8D"/>
    <w:rsid w:val="008471F3"/>
    <w:rsid w:val="0086427A"/>
    <w:rsid w:val="008B3381"/>
    <w:rsid w:val="008B3554"/>
    <w:rsid w:val="008C3827"/>
    <w:rsid w:val="008E2E90"/>
    <w:rsid w:val="008F37AF"/>
    <w:rsid w:val="00910505"/>
    <w:rsid w:val="009167AA"/>
    <w:rsid w:val="009D39D9"/>
    <w:rsid w:val="009F1CFC"/>
    <w:rsid w:val="00A12F22"/>
    <w:rsid w:val="00A66F02"/>
    <w:rsid w:val="00A76524"/>
    <w:rsid w:val="00AA2771"/>
    <w:rsid w:val="00AD5D2A"/>
    <w:rsid w:val="00B27362"/>
    <w:rsid w:val="00B512E8"/>
    <w:rsid w:val="00BA6014"/>
    <w:rsid w:val="00C26088"/>
    <w:rsid w:val="00C568C2"/>
    <w:rsid w:val="00C620F8"/>
    <w:rsid w:val="00CA0802"/>
    <w:rsid w:val="00D13EDB"/>
    <w:rsid w:val="00D266AD"/>
    <w:rsid w:val="00D5509B"/>
    <w:rsid w:val="00DC4563"/>
    <w:rsid w:val="00DC47F9"/>
    <w:rsid w:val="00DF4ED1"/>
    <w:rsid w:val="00DF75F8"/>
    <w:rsid w:val="00E31486"/>
    <w:rsid w:val="00E61D75"/>
    <w:rsid w:val="00ED0AD7"/>
    <w:rsid w:val="00EE0E75"/>
    <w:rsid w:val="00EE312F"/>
    <w:rsid w:val="00F25282"/>
    <w:rsid w:val="00F96510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Константиновна</dc:creator>
  <cp:keywords/>
  <dc:description/>
  <cp:lastModifiedBy>р</cp:lastModifiedBy>
  <cp:revision>70</cp:revision>
  <cp:lastPrinted>2020-08-05T03:13:00Z</cp:lastPrinted>
  <dcterms:created xsi:type="dcterms:W3CDTF">2019-07-17T06:37:00Z</dcterms:created>
  <dcterms:modified xsi:type="dcterms:W3CDTF">2020-08-10T06:47:00Z</dcterms:modified>
</cp:coreProperties>
</file>