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D4" w:rsidRDefault="00BF7AD4" w:rsidP="00BF7AD4">
      <w:pPr>
        <w:keepNext/>
        <w:spacing w:after="0"/>
        <w:ind w:firstLine="851"/>
        <w:contextualSpacing/>
        <w:jc w:val="center"/>
        <w:rPr>
          <w:sz w:val="20"/>
          <w:szCs w:val="20"/>
          <w:lang w:val="en-US"/>
        </w:rPr>
      </w:pPr>
      <w:bookmarkStart w:id="0" w:name="_Toc447719632"/>
      <w:r w:rsidRPr="00485A85">
        <w:rPr>
          <w:sz w:val="20"/>
          <w:szCs w:val="20"/>
        </w:rPr>
        <w:t>ОПИСАНИЕ ОБЪЕКТА ЗАКУПКИ</w:t>
      </w:r>
      <w:bookmarkEnd w:id="0"/>
    </w:p>
    <w:p w:rsidR="00BF7AD4" w:rsidRPr="00BF7AD4" w:rsidRDefault="00BF7AD4" w:rsidP="00BF7AD4">
      <w:pPr>
        <w:keepNext/>
        <w:spacing w:after="0"/>
        <w:ind w:firstLine="851"/>
        <w:contextualSpacing/>
        <w:jc w:val="center"/>
        <w:rPr>
          <w:sz w:val="20"/>
          <w:szCs w:val="20"/>
          <w:lang w:val="en-US"/>
        </w:rPr>
      </w:pPr>
    </w:p>
    <w:p w:rsidR="00BF7AD4" w:rsidRPr="00485A85" w:rsidRDefault="00BF7AD4" w:rsidP="00BF7AD4">
      <w:pPr>
        <w:keepNext/>
        <w:spacing w:after="0"/>
        <w:ind w:firstLine="851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Наименование объекта закупки: Выполнение работ по изготовлению протезно - ортопедического изделия (Протез предплечья с внешним источником энергии) для обеспечения в 2020 году инвалидов.</w:t>
      </w:r>
    </w:p>
    <w:p w:rsidR="00BF7AD4" w:rsidRPr="00485A85" w:rsidRDefault="00BF7AD4" w:rsidP="00BF7AD4">
      <w:pPr>
        <w:keepNext/>
        <w:spacing w:after="0"/>
        <w:ind w:firstLine="851"/>
        <w:rPr>
          <w:sz w:val="20"/>
          <w:szCs w:val="20"/>
        </w:rPr>
      </w:pPr>
    </w:p>
    <w:tbl>
      <w:tblPr>
        <w:tblW w:w="986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1979"/>
        <w:gridCol w:w="6714"/>
        <w:gridCol w:w="1168"/>
      </w:tblGrid>
      <w:tr w:rsidR="00BF7AD4" w:rsidRPr="00485A85" w:rsidTr="00C26ADF">
        <w:trPr>
          <w:trHeight w:val="854"/>
          <w:jc w:val="center"/>
        </w:trPr>
        <w:tc>
          <w:tcPr>
            <w:tcW w:w="1979" w:type="dxa"/>
            <w:tcBorders>
              <w:right w:val="nil"/>
            </w:tcBorders>
          </w:tcPr>
          <w:p w:rsidR="00BF7AD4" w:rsidRPr="00485A85" w:rsidRDefault="00BF7AD4" w:rsidP="00C26ADF">
            <w:pPr>
              <w:keepNext/>
              <w:tabs>
                <w:tab w:val="left" w:pos="170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BF7AD4" w:rsidRPr="00485A85" w:rsidRDefault="00BF7AD4" w:rsidP="00C26ADF">
            <w:pPr>
              <w:keepNext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485A85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BF7AD4" w:rsidRPr="00485A85" w:rsidRDefault="00BF7AD4" w:rsidP="00C26ADF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закупаемого изделия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BF7AD4" w:rsidRPr="00485A85" w:rsidRDefault="00BF7AD4" w:rsidP="00C26ADF">
            <w:pPr>
              <w:keepNext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85A85">
              <w:rPr>
                <w:sz w:val="20"/>
                <w:szCs w:val="20"/>
              </w:rPr>
              <w:t>изделий (Штука (шт.))</w:t>
            </w:r>
          </w:p>
        </w:tc>
      </w:tr>
      <w:tr w:rsidR="00BF7AD4" w:rsidRPr="00485A85" w:rsidTr="00C26ADF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</w:tcPr>
          <w:p w:rsidR="00BF7AD4" w:rsidRPr="00485A85" w:rsidRDefault="00BF7AD4" w:rsidP="00C26ADF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Протез предплечья с внешним источником энергии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BF7AD4" w:rsidRPr="00485A85" w:rsidRDefault="00BF7AD4" w:rsidP="00C26AD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485A85">
              <w:rPr>
                <w:sz w:val="20"/>
                <w:szCs w:val="20"/>
                <w:shd w:val="clear" w:color="auto" w:fill="FFFFFF"/>
              </w:rPr>
              <w:t xml:space="preserve">Протез состоит из кисти с электромеханическим приводом, гильзы предплечья, которая изготавливается по индивидуальному гипсовому слепку, ротационного фланца запястья (опционально), ЭМГ-датчиков, аккумулятора, зарядного устройства,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электрокабелей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и косметической оболочки (опционально). 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транскарпальной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ампутации кисти или вычленении кисти в лучезапястном суставе. Управление протезом происходит за счет регистрации на поверхности кожи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электромиографического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схвата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. В качестве источника энергии служит заряжаемый литий-ионный аккумулятор с защитой от перезаряда. </w:t>
            </w:r>
            <w:proofErr w:type="spellStart"/>
            <w:proofErr w:type="gramStart"/>
            <w:r w:rsidRPr="00485A85">
              <w:rPr>
                <w:sz w:val="20"/>
                <w:szCs w:val="20"/>
                <w:shd w:val="clear" w:color="auto" w:fill="FFFFFF"/>
              </w:rPr>
              <w:t>Схват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и</w:t>
            </w:r>
            <w:proofErr w:type="gramEnd"/>
            <w:r w:rsidRPr="00485A85">
              <w:rPr>
                <w:sz w:val="20"/>
                <w:szCs w:val="20"/>
                <w:shd w:val="clear" w:color="auto" w:fill="FFFFFF"/>
              </w:rPr>
              <w:t xml:space="preserve"> раскрытие активные, обеспечиваются встроенным мотор-редуктором. Кабели электродов и питания от аккумулятора проходят внутри несущей гильзы и соединяются с кистью разъемным соединением. Протез имеет пассивную ротацию кисти в шарнире запястья (ротация отсутствует в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транскарпальной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версии протеза). </w:t>
            </w:r>
            <w:proofErr w:type="gramStart"/>
            <w:r w:rsidRPr="00485A85">
              <w:rPr>
                <w:sz w:val="20"/>
                <w:szCs w:val="20"/>
                <w:shd w:val="clear" w:color="auto" w:fill="FFFFFF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инфузии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  <w:r w:rsidRPr="00485A8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85A85">
              <w:rPr>
                <w:sz w:val="20"/>
                <w:szCs w:val="20"/>
                <w:shd w:val="clear" w:color="auto" w:fill="FFFFFF"/>
              </w:rPr>
              <w:t>Возможно</w:t>
            </w:r>
            <w:proofErr w:type="gramEnd"/>
            <w:r w:rsidRPr="00485A85">
              <w:rPr>
                <w:sz w:val="20"/>
                <w:szCs w:val="20"/>
                <w:shd w:val="clear" w:color="auto" w:fill="FFFFFF"/>
              </w:rPr>
              <w:t xml:space="preserve"> индивидуальное изготовление с применением 3D сканирования и печати SLS методом из PLA2200 Приёмная гильза изготавливается из мягких смол (</w:t>
            </w:r>
            <w:proofErr w:type="spellStart"/>
            <w:r w:rsidRPr="00485A85">
              <w:rPr>
                <w:sz w:val="20"/>
                <w:szCs w:val="20"/>
                <w:shd w:val="clear" w:color="auto" w:fill="FFFFFF"/>
              </w:rPr>
              <w:t>термолин</w:t>
            </w:r>
            <w:proofErr w:type="spellEnd"/>
            <w:r w:rsidRPr="00485A85">
              <w:rPr>
                <w:sz w:val="20"/>
                <w:szCs w:val="20"/>
                <w:shd w:val="clear" w:color="auto" w:fill="FFFFFF"/>
              </w:rPr>
              <w:t>) или силикона. Удержание протеза на культе за счет мягких тканей и формы культи.</w:t>
            </w:r>
          </w:p>
          <w:p w:rsidR="00BF7AD4" w:rsidRPr="00485A85" w:rsidRDefault="00BF7AD4" w:rsidP="00C26AD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485A85">
              <w:rPr>
                <w:sz w:val="20"/>
                <w:szCs w:val="20"/>
                <w:shd w:val="clear" w:color="auto" w:fill="FFFFFF"/>
              </w:rPr>
              <w:t>Обслуживание и гарантийный ремонт на территории Российской Федерации.</w:t>
            </w:r>
          </w:p>
          <w:p w:rsidR="00BF7AD4" w:rsidRPr="00485A85" w:rsidRDefault="00BF7AD4" w:rsidP="00C26ADF">
            <w:pPr>
              <w:keepNext/>
              <w:spacing w:after="0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  <w:shd w:val="clear" w:color="auto" w:fill="FFFFFF"/>
              </w:rPr>
              <w:t>Гарантийный срок не менее 24 месяцев со дня выдачи готового изделия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BF7AD4" w:rsidRPr="00485A85" w:rsidRDefault="00BF7AD4" w:rsidP="00C26ADF">
            <w:pPr>
              <w:keepNext/>
              <w:tabs>
                <w:tab w:val="left" w:pos="1701"/>
              </w:tabs>
              <w:snapToGrid w:val="0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85A85">
              <w:rPr>
                <w:sz w:val="20"/>
                <w:szCs w:val="20"/>
              </w:rPr>
              <w:t>3</w:t>
            </w:r>
          </w:p>
        </w:tc>
      </w:tr>
    </w:tbl>
    <w:p w:rsidR="00BF7AD4" w:rsidRPr="00485A85" w:rsidRDefault="00BF7AD4" w:rsidP="00BF7AD4">
      <w:pPr>
        <w:keepNext/>
        <w:spacing w:after="0"/>
        <w:ind w:right="-2" w:firstLine="851"/>
        <w:rPr>
          <w:sz w:val="20"/>
          <w:szCs w:val="20"/>
        </w:rPr>
      </w:pP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F7AD4" w:rsidRPr="00485A85" w:rsidRDefault="00BF7AD4" w:rsidP="00BF7AD4">
      <w:pPr>
        <w:keepNext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Выдача изделий должна осуществляться при наличии декларации о соответствии по Постановлению Правительства РФ от 01.12.2009г. № 982 (Система сертификации ГОСТ Р).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485A85">
        <w:rPr>
          <w:sz w:val="20"/>
          <w:szCs w:val="20"/>
        </w:rPr>
        <w:t>Р</w:t>
      </w:r>
      <w:proofErr w:type="gramEnd"/>
      <w:r w:rsidRPr="00485A85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485A85">
        <w:rPr>
          <w:sz w:val="20"/>
          <w:szCs w:val="20"/>
        </w:rPr>
        <w:t>Р</w:t>
      </w:r>
      <w:proofErr w:type="gramEnd"/>
      <w:r w:rsidRPr="00485A85">
        <w:rPr>
          <w:sz w:val="20"/>
          <w:szCs w:val="20"/>
        </w:rPr>
        <w:t xml:space="preserve"> 51819-2017 «Протезирование и </w:t>
      </w:r>
      <w:proofErr w:type="spellStart"/>
      <w:r w:rsidRPr="00485A85">
        <w:rPr>
          <w:sz w:val="20"/>
          <w:szCs w:val="20"/>
        </w:rPr>
        <w:t>ортезирование</w:t>
      </w:r>
      <w:proofErr w:type="spellEnd"/>
      <w:r w:rsidRPr="00485A85">
        <w:rPr>
          <w:sz w:val="20"/>
          <w:szCs w:val="20"/>
        </w:rPr>
        <w:t xml:space="preserve"> верхних и нижних конечностей. Термины и определения»,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85A85">
        <w:rPr>
          <w:sz w:val="20"/>
          <w:szCs w:val="20"/>
        </w:rPr>
        <w:t>цитотоксичность</w:t>
      </w:r>
      <w:proofErr w:type="spellEnd"/>
      <w:r w:rsidRPr="00485A85">
        <w:rPr>
          <w:sz w:val="20"/>
          <w:szCs w:val="20"/>
        </w:rPr>
        <w:t xml:space="preserve">: методы </w:t>
      </w:r>
      <w:proofErr w:type="spellStart"/>
      <w:r w:rsidRPr="00485A85">
        <w:rPr>
          <w:sz w:val="20"/>
          <w:szCs w:val="20"/>
        </w:rPr>
        <w:t>in</w:t>
      </w:r>
      <w:proofErr w:type="spellEnd"/>
      <w:r w:rsidRPr="00485A85">
        <w:rPr>
          <w:sz w:val="20"/>
          <w:szCs w:val="20"/>
        </w:rPr>
        <w:t xml:space="preserve"> </w:t>
      </w:r>
      <w:proofErr w:type="spellStart"/>
      <w:r w:rsidRPr="00485A85">
        <w:rPr>
          <w:sz w:val="20"/>
          <w:szCs w:val="20"/>
        </w:rPr>
        <w:t>vitro</w:t>
      </w:r>
      <w:proofErr w:type="spellEnd"/>
      <w:r w:rsidRPr="00485A85">
        <w:rPr>
          <w:sz w:val="20"/>
          <w:szCs w:val="20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 w:rsidRPr="00485A85">
        <w:rPr>
          <w:sz w:val="20"/>
          <w:szCs w:val="20"/>
        </w:rPr>
        <w:t>Р</w:t>
      </w:r>
      <w:proofErr w:type="gramEnd"/>
      <w:r w:rsidRPr="00485A85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85A85">
        <w:rPr>
          <w:sz w:val="20"/>
          <w:szCs w:val="20"/>
        </w:rPr>
        <w:t>Р</w:t>
      </w:r>
      <w:proofErr w:type="gramEnd"/>
      <w:r w:rsidRPr="00485A85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</w:t>
      </w:r>
      <w:r w:rsidRPr="00485A85">
        <w:rPr>
          <w:sz w:val="20"/>
          <w:szCs w:val="20"/>
        </w:rPr>
        <w:lastRenderedPageBreak/>
        <w:t xml:space="preserve">Общие технические требования и методы испытаний», ГОСТ </w:t>
      </w:r>
      <w:proofErr w:type="gramStart"/>
      <w:r w:rsidRPr="00485A85">
        <w:rPr>
          <w:sz w:val="20"/>
          <w:szCs w:val="20"/>
        </w:rPr>
        <w:t>Р</w:t>
      </w:r>
      <w:proofErr w:type="gramEnd"/>
      <w:r w:rsidRPr="00485A85">
        <w:rPr>
          <w:sz w:val="20"/>
          <w:szCs w:val="20"/>
        </w:rPr>
        <w:t xml:space="preserve"> 56138-2014 «Протезы верхних конечностей. </w:t>
      </w:r>
      <w:proofErr w:type="gramStart"/>
      <w:r w:rsidRPr="00485A85">
        <w:rPr>
          <w:sz w:val="20"/>
          <w:szCs w:val="20"/>
        </w:rPr>
        <w:t>Технические требования»).</w:t>
      </w:r>
      <w:proofErr w:type="gramEnd"/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-безопасность для кожных покровов;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-эстетичность;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-простота пользования.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Изделия не должны выделять при эксплуатации токсичных и агрессивных веществ.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Маркировка упаковки изделий должна включать: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страну-изготовителя;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485A85">
        <w:rPr>
          <w:sz w:val="20"/>
          <w:szCs w:val="20"/>
        </w:rPr>
        <w:t>техническим исполнением</w:t>
      </w:r>
      <w:proofErr w:type="gramEnd"/>
      <w:r w:rsidRPr="00485A85">
        <w:rPr>
          <w:sz w:val="20"/>
          <w:szCs w:val="20"/>
        </w:rPr>
        <w:t xml:space="preserve">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номер артикула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количество изделий в упаковке;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правила использования (при необходимости);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штриховой код изделия (при наличии);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- информацию о сертификации (при наличии).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 xml:space="preserve">Место выполнения работ: 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</w:t>
      </w:r>
      <w:bookmarkStart w:id="1" w:name="_GoBack"/>
      <w:r w:rsidRPr="00485A85">
        <w:rPr>
          <w:sz w:val="20"/>
          <w:szCs w:val="20"/>
        </w:rPr>
        <w:t>разд</w:t>
      </w:r>
      <w:bookmarkEnd w:id="1"/>
      <w:r w:rsidRPr="00485A85">
        <w:rPr>
          <w:sz w:val="20"/>
          <w:szCs w:val="20"/>
        </w:rPr>
        <w:t>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 xml:space="preserve">Срок выполнения работ: 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Со дня заключения контракта до 15.11.2020 г. должно быть выполнено 100 % общего объема работ.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BF7AD4" w:rsidRPr="00485A85" w:rsidRDefault="00BF7AD4" w:rsidP="00BF7AD4">
      <w:pPr>
        <w:keepNext/>
        <w:spacing w:after="0"/>
        <w:ind w:firstLine="567"/>
        <w:rPr>
          <w:sz w:val="20"/>
          <w:szCs w:val="20"/>
        </w:rPr>
      </w:pPr>
      <w:r w:rsidRPr="00485A85">
        <w:rPr>
          <w:sz w:val="20"/>
          <w:szCs w:val="20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BC47A3" w:rsidRDefault="00BC47A3"/>
    <w:sectPr w:rsidR="00BC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1B"/>
    <w:rsid w:val="007E691B"/>
    <w:rsid w:val="00BC47A3"/>
    <w:rsid w:val="00B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6869</Characters>
  <Application>Microsoft Office Word</Application>
  <DocSecurity>0</DocSecurity>
  <Lines>57</Lines>
  <Paragraphs>16</Paragraphs>
  <ScaleCrop>false</ScaleCrop>
  <Company>ГУ - РО ФСС РФ по РБ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2020-06-30T09:09:00Z</dcterms:created>
  <dcterms:modified xsi:type="dcterms:W3CDTF">2020-06-30T09:10:00Z</dcterms:modified>
</cp:coreProperties>
</file>