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77" w:rsidRDefault="003D0343" w:rsidP="003D034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D034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Часть </w:t>
      </w:r>
      <w:r w:rsidRPr="003D034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>III</w:t>
      </w:r>
      <w:r w:rsidRPr="003D034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.Техническое задание</w:t>
      </w:r>
    </w:p>
    <w:p w:rsidR="00096769" w:rsidRPr="00096769" w:rsidRDefault="00096769" w:rsidP="00096769">
      <w:pPr>
        <w:tabs>
          <w:tab w:val="left" w:pos="9354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</w:pPr>
      <w:r w:rsidRPr="00096769">
        <w:rPr>
          <w:rFonts w:ascii="Times New Roman" w:eastAsia="Times New Roman" w:hAnsi="Times New Roman" w:cs="Times New Roman"/>
          <w:sz w:val="24"/>
          <w:szCs w:val="26"/>
          <w:u w:val="single"/>
          <w:lang w:eastAsia="ar-SA"/>
        </w:rPr>
        <w:t>Наименование изделия</w:t>
      </w:r>
    </w:p>
    <w:p w:rsidR="00096769" w:rsidRPr="00096769" w:rsidRDefault="00096769" w:rsidP="00096769">
      <w:pPr>
        <w:suppressAutoHyphens/>
        <w:autoSpaceDE w:val="0"/>
        <w:autoSpaceDN w:val="0"/>
        <w:spacing w:after="0" w:line="240" w:lineRule="auto"/>
        <w:ind w:right="-108"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Ортопедическая обувь сложная,</w:t>
      </w:r>
      <w:r w:rsidRPr="000967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</w:t>
      </w:r>
      <w:r w:rsidRPr="000967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кладной башмачок</w:t>
      </w:r>
      <w:r w:rsidRPr="000967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предназначены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передвижения инвалидов (ветеранов) с деформациями, дефектами или функциональной недостаточностью стоп, а также пользующихся протезами (аппаратами) на нижние конечности при односторонней ампутации с целью компенсации ограничений их жизнедеятельности и утраченных функций нижних конечностей.</w:t>
      </w:r>
    </w:p>
    <w:p w:rsidR="00096769" w:rsidRPr="00096769" w:rsidRDefault="00096769" w:rsidP="00096769">
      <w:pPr>
        <w:tabs>
          <w:tab w:val="left" w:pos="9354"/>
        </w:tabs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Требования к качеству и безопасности работ</w:t>
      </w:r>
    </w:p>
    <w:p w:rsidR="00096769" w:rsidRPr="00096769" w:rsidRDefault="00096769" w:rsidP="00096769">
      <w:pPr>
        <w:keepNext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Разработка, производство, сертификация, эксплуатация, ремонт, снятие с производства изделий должны отвечать требованиям ГОСТ Р 15.111-2015 "Система разработки и постановки продукции на производство. Технические средства реабилитации инвалидов".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Работы предусматривают проведение комплекса медицинских, технических и социальных мероприятий, проводимых с инвалидами (ветеранами), имеющими нарушения и (или) дефекты опорно-двигательного аппарата, направленных на полное или частичное восстановление опорно-двигательных функций инвалидов (ветеранов) с помощью обуви (протеза стопы частичного), имеющей специальную форму и конструкцию.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изготовлении изделий должно быть обеспечено:</w:t>
      </w:r>
    </w:p>
    <w:p w:rsidR="00096769" w:rsidRPr="00096769" w:rsidRDefault="00096769" w:rsidP="00096769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достаточность опороспособности конечности;</w:t>
      </w:r>
    </w:p>
    <w:p w:rsidR="00096769" w:rsidRPr="00096769" w:rsidRDefault="00096769" w:rsidP="00096769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фиксация стопы в правильном положении при мышечных нарушениях и после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исправления деформаций, а также для профилактики прогрессирования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деформации;</w:t>
      </w:r>
    </w:p>
    <w:p w:rsidR="00096769" w:rsidRPr="00096769" w:rsidRDefault="00096769" w:rsidP="00096769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компенсация укорочения конечности.</w:t>
      </w:r>
    </w:p>
    <w:p w:rsidR="00096769" w:rsidRPr="00096769" w:rsidRDefault="00096769" w:rsidP="0009676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Обувь предназначена для мужчин, женщин и должна изготавливаться в зависимости от индивидуальных особенностей Получателей в виде ботинок, полуботинок, туфель, сапог. </w:t>
      </w:r>
    </w:p>
    <w:p w:rsidR="00096769" w:rsidRPr="00096769" w:rsidRDefault="00096769" w:rsidP="0009676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Изготовление изделий должно соответствовать </w:t>
      </w:r>
      <w:r w:rsidRPr="00096769">
        <w:rPr>
          <w:rFonts w:ascii="Times New Roman" w:eastAsia="Times New Roman" w:hAnsi="Times New Roman" w:cs="Times New Roman"/>
          <w:sz w:val="24"/>
          <w:szCs w:val="28"/>
          <w:lang w:eastAsia="ar-SA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7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ГОСТ Р 54407-2011 «Обувь ортопедическая. Общие технические условия», ГОСТ Р 54739-2011 «Изделия обувные ортопедические. Общие технические условия», ГОСТ Р 55638-2013 «Услуги по изготовлению ортопедической обуви. Требования безопасности»,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ГОСТ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Р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51819-2017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Протезирование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и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ортезирование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верхних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и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нижних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конечностей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Термины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и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определения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330B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бувь </w:t>
      </w:r>
      <w:r w:rsidR="00DF4AFB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должна быть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ручного или полумеханического производства.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right="58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изготовлении обуви в соответствии с ее функциональным назначением и медицинскими показаниями должны включаться несколько компонентов из нижеперечисленного перечня:</w:t>
      </w:r>
    </w:p>
    <w:p w:rsidR="00096769" w:rsidRPr="00096769" w:rsidRDefault="00DF4AFB" w:rsidP="00096769">
      <w:pPr>
        <w:shd w:val="clear" w:color="auto" w:fill="FFFFFF"/>
        <w:tabs>
          <w:tab w:val="left" w:pos="298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а)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96769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специальные жесткие детали:</w:t>
      </w:r>
    </w:p>
    <w:p w:rsidR="00096769" w:rsidRPr="00096769" w:rsidRDefault="00096769" w:rsidP="00096769">
      <w:pPr>
        <w:shd w:val="clear" w:color="auto" w:fill="FFFFFF"/>
        <w:tabs>
          <w:tab w:val="left" w:pos="187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союзка жесткая, полусоюзка жесткая, берц жесткий односторонний, берц жесткий двусторонний, берц </w:t>
      </w:r>
      <w:r w:rsidR="00DF4AFB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жесткий круговой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задний жесткий берц, задник с укороченными </w:t>
      </w:r>
      <w:r w:rsidR="00DF4AFB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или удлиненными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крыльями,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096769" w:rsidRPr="00096769" w:rsidRDefault="00DF4AFB" w:rsidP="00096769">
      <w:pPr>
        <w:shd w:val="clear" w:color="auto" w:fill="FFFFFF"/>
        <w:tabs>
          <w:tab w:val="left" w:pos="298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б)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96769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специальные мягкие детали:</w:t>
      </w:r>
    </w:p>
    <w:p w:rsidR="00096769" w:rsidRPr="00096769" w:rsidRDefault="00096769" w:rsidP="00096769">
      <w:pPr>
        <w:shd w:val="clear" w:color="auto" w:fill="FFFFFF"/>
        <w:tabs>
          <w:tab w:val="left" w:pos="187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боковой внутренний ремень, дополнительная шнуровка, тяги, притяжной </w:t>
      </w:r>
      <w:r w:rsidR="00DF4AFB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ремень, шнуровка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96769" w:rsidRPr="00096769" w:rsidRDefault="00DF4AFB" w:rsidP="00096769">
      <w:pPr>
        <w:shd w:val="clear" w:color="auto" w:fill="FFFFFF"/>
        <w:tabs>
          <w:tab w:val="left" w:pos="298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в)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96769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специальные металлические детали:</w:t>
      </w:r>
    </w:p>
    <w:p w:rsidR="00096769" w:rsidRPr="00096769" w:rsidRDefault="00096769" w:rsidP="00096769">
      <w:pPr>
        <w:shd w:val="clear" w:color="auto" w:fill="FFFFFF"/>
        <w:tabs>
          <w:tab w:val="left" w:pos="187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пластина для ортопедической обуви, шины стальные, планшетки корсетные.</w:t>
      </w:r>
    </w:p>
    <w:p w:rsidR="00096769" w:rsidRPr="00096769" w:rsidRDefault="00DF4AFB" w:rsidP="00096769">
      <w:pPr>
        <w:shd w:val="clear" w:color="auto" w:fill="FFFFFF"/>
        <w:tabs>
          <w:tab w:val="left" w:pos="298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г)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96769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межстелечные слои:</w:t>
      </w:r>
    </w:p>
    <w:p w:rsidR="00096769" w:rsidRPr="00096769" w:rsidRDefault="00096769" w:rsidP="00096769">
      <w:pPr>
        <w:shd w:val="clear" w:color="auto" w:fill="FFFFFF"/>
        <w:tabs>
          <w:tab w:val="left" w:pos="187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выкладка сводов (наружного и внутреннего), вкладка внутреннего свода, </w:t>
      </w:r>
      <w:r w:rsidR="00DF4AFB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косок, супинатор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пронатор, пробка, двойной след.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34" w:right="43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Межстелечные слои должны быть изготовлены в виде единого блока, включающего один или несколько из вышеуказанных элементов.</w:t>
      </w:r>
    </w:p>
    <w:p w:rsidR="00096769" w:rsidRPr="00096769" w:rsidRDefault="00DF4AFB" w:rsidP="00096769">
      <w:pPr>
        <w:shd w:val="clear" w:color="auto" w:fill="FFFFFF"/>
        <w:tabs>
          <w:tab w:val="left" w:pos="298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д)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96769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специальные детали низа:</w:t>
      </w:r>
    </w:p>
    <w:p w:rsidR="00096769" w:rsidRPr="00096769" w:rsidRDefault="00096769" w:rsidP="00096769">
      <w:pPr>
        <w:shd w:val="clear" w:color="auto" w:fill="FFFFFF"/>
        <w:tabs>
          <w:tab w:val="left" w:pos="187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каблук и подошва особой формы;</w:t>
      </w:r>
    </w:p>
    <w:p w:rsidR="00096769" w:rsidRPr="00096769" w:rsidRDefault="00DF4AFB" w:rsidP="00096769">
      <w:pPr>
        <w:shd w:val="clear" w:color="auto" w:fill="FFFFFF"/>
        <w:tabs>
          <w:tab w:val="left" w:pos="298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е)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096769"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прочие специальные детали:</w:t>
      </w:r>
    </w:p>
    <w:p w:rsidR="00096769" w:rsidRPr="00096769" w:rsidRDefault="00096769" w:rsidP="00096769">
      <w:pPr>
        <w:shd w:val="clear" w:color="auto" w:fill="FFFFFF"/>
        <w:tabs>
          <w:tab w:val="left" w:pos="307"/>
        </w:tabs>
        <w:suppressAutoHyphens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искусственные стопы, передний отдел стопы и искусственный носок (после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ампутации стопы).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43" w:righ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изготовлении обуви должно предусматриваться несколько примерок. Для обеспечения инвалидов (ветеранов)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группы изделиями должна быть возможность выполнения работы на дому или в условиях стационара, находящегося в регионе проживания инвалида.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43" w:right="2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Изготовленная обувь должна быть устойчива к климатическим воздействиям (колебания температур, атмосферные осадки, вода, пыль) и воздействию физиологических жидкостей (пота).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48" w:right="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43" w:right="1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Межстелечный слой должен быть устойчив к гигиенической обработке в теплой воде до температуры не выше плюс 40° С.</w:t>
      </w:r>
    </w:p>
    <w:p w:rsidR="00096769" w:rsidRPr="00096769" w:rsidRDefault="00096769" w:rsidP="00096769">
      <w:pPr>
        <w:keepNext/>
        <w:numPr>
          <w:ilvl w:val="5"/>
          <w:numId w:val="0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096769" w:rsidRPr="00096769" w:rsidRDefault="00096769" w:rsidP="0009676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967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Требования к упаковке, маркировке и отгрузке изделий </w:t>
      </w:r>
    </w:p>
    <w:p w:rsidR="00096769" w:rsidRPr="00096769" w:rsidRDefault="00096769" w:rsidP="000967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0967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Упаковка изделий должна 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предохранять от воздействия механических и климатических</w:t>
      </w:r>
      <w:r w:rsidRPr="00096769">
        <w:rPr>
          <w:rFonts w:ascii="Times New Roman" w:eastAsia="Times New Roman" w:hAnsi="Times New Roman" w:cs="Times New Roman"/>
          <w:sz w:val="24"/>
          <w:lang w:eastAsia="ar-SA"/>
        </w:rPr>
        <w:t xml:space="preserve"> факторов, </w:t>
      </w:r>
      <w:r w:rsidRPr="00096769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обеспечивать защиту от повреждений, порчи (изнашивания), 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попадания влаги</w:t>
      </w:r>
      <w:r w:rsidRPr="00096769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 или загрязнения во время хранения и транспортировки к месту </w:t>
      </w:r>
      <w:r w:rsidR="00330BED" w:rsidRPr="00096769">
        <w:rPr>
          <w:rFonts w:ascii="Times New Roman" w:eastAsia="Times New Roman" w:hAnsi="Times New Roman" w:cs="Times New Roman"/>
          <w:kern w:val="1"/>
          <w:sz w:val="24"/>
          <w:lang w:eastAsia="ar-SA"/>
        </w:rPr>
        <w:t>использования по</w:t>
      </w:r>
      <w:r w:rsidRPr="00096769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 назначению. </w:t>
      </w:r>
    </w:p>
    <w:p w:rsidR="00096769" w:rsidRPr="00096769" w:rsidRDefault="00096769" w:rsidP="000967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967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Маркировка, упаковка, хранение и транспортировка 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изделий к</w:t>
      </w:r>
      <w:r w:rsidRPr="000967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096769" w:rsidRPr="00096769" w:rsidRDefault="00096769" w:rsidP="000967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Требования к срокам предоставления гарантии качества</w:t>
      </w:r>
      <w:r w:rsidR="0033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работ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left="43" w:right="14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иметь установленный изготовителем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13.02.2018г. №85н</w:t>
      </w:r>
      <w:r w:rsidRPr="000967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Гарантийный срок на изделия устанавливается со дня выдачи обуви потребителю или начала сезона и составляет: </w:t>
      </w:r>
    </w:p>
    <w:p w:rsidR="00096769" w:rsidRPr="00096769" w:rsidRDefault="00096769" w:rsidP="00096769">
      <w:pPr>
        <w:shd w:val="clear" w:color="auto" w:fill="FFFFFF"/>
        <w:tabs>
          <w:tab w:val="left" w:pos="1134"/>
        </w:tabs>
        <w:suppressAutoHyphens/>
        <w:spacing w:after="0" w:line="240" w:lineRule="auto"/>
        <w:ind w:left="43" w:firstLine="66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 кожаной подошве не менее 40 дней;</w:t>
      </w:r>
    </w:p>
    <w:p w:rsidR="00096769" w:rsidRPr="00096769" w:rsidRDefault="00096769" w:rsidP="00330BED">
      <w:pPr>
        <w:numPr>
          <w:ilvl w:val="0"/>
          <w:numId w:val="3"/>
        </w:numPr>
        <w:shd w:val="clear" w:color="auto" w:fill="FFFFFF"/>
        <w:tabs>
          <w:tab w:val="clear" w:pos="161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кожаной подошве с накладкой не менее 50 дней;</w:t>
      </w:r>
    </w:p>
    <w:p w:rsidR="00096769" w:rsidRPr="00096769" w:rsidRDefault="00096769" w:rsidP="00330BED">
      <w:pPr>
        <w:numPr>
          <w:ilvl w:val="0"/>
          <w:numId w:val="3"/>
        </w:numPr>
        <w:shd w:val="clear" w:color="auto" w:fill="FFFFFF"/>
        <w:tabs>
          <w:tab w:val="clear" w:pos="161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подошве из кожеподобной резины не менее 60 дней;</w:t>
      </w:r>
    </w:p>
    <w:p w:rsidR="00096769" w:rsidRPr="00096769" w:rsidRDefault="00096769" w:rsidP="00330BED">
      <w:pPr>
        <w:numPr>
          <w:ilvl w:val="0"/>
          <w:numId w:val="3"/>
        </w:numPr>
        <w:shd w:val="clear" w:color="auto" w:fill="FFFFFF"/>
        <w:tabs>
          <w:tab w:val="clear" w:pos="161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подошве из пористой резины, полиэфируретана, термоэластопласта не менее 70 дней.</w:t>
      </w:r>
    </w:p>
    <w:p w:rsidR="00096769" w:rsidRPr="00096769" w:rsidRDefault="00096769" w:rsidP="00096769">
      <w:pPr>
        <w:shd w:val="clear" w:color="auto" w:fill="FFFFFF"/>
        <w:suppressAutoHyphens/>
        <w:spacing w:after="0" w:line="240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Начало сезона определяется в соответствии с законом «О защите прав потребителей». Начало сезона определяется в соответствии с Федеральным законом от 07.02.1992 № 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096769" w:rsidRPr="00096769" w:rsidRDefault="00096769" w:rsidP="000967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096769" w:rsidRPr="00096769" w:rsidRDefault="00096769" w:rsidP="000967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6769" w:rsidRPr="00096769" w:rsidRDefault="00096769" w:rsidP="000967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6769" w:rsidRPr="00096769" w:rsidRDefault="00096769" w:rsidP="000967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967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  <w:r w:rsidRPr="000967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Требования к техническим, функциональным и </w:t>
      </w:r>
      <w:r w:rsidR="00330BED" w:rsidRPr="000967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эксплуатационным характеристикам</w:t>
      </w:r>
    </w:p>
    <w:p w:rsidR="00096769" w:rsidRPr="00096769" w:rsidRDefault="00096769" w:rsidP="00096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946"/>
        <w:gridCol w:w="992"/>
      </w:tblGrid>
      <w:tr w:rsidR="00096769" w:rsidRPr="00096769" w:rsidTr="008C6119">
        <w:trPr>
          <w:trHeight w:val="585"/>
        </w:trPr>
        <w:tc>
          <w:tcPr>
            <w:tcW w:w="568" w:type="dxa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984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ТСР по классификатору</w:t>
            </w:r>
          </w:p>
        </w:tc>
        <w:tc>
          <w:tcPr>
            <w:tcW w:w="6946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Описание изделия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Кол-во изделий, пара 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сложная без утепленной подкладки (пара)</w:t>
            </w: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варусные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полиомиелит,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язве,  </w:t>
            </w: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после ампутации по Пирогову, после ампутации по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Лисфранку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или при разной длине следа, после ампутаций стопы по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Шопару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Специальные детали – жесткий берц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полусоюзка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притяжной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сложная на утепленной подкладке (пара)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варусные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полиомиелит,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язве,</w:t>
            </w: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после ампутации по Пирогову, после ампутации по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Лисфранку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или при разной длине следа, после ампутаций стопы по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Шопару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Специальные детали – жесткий берц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полусоюзка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притяжной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мех (натуральный или искусственный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прессукно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</w:tr>
      <w:tr w:rsidR="00096769" w:rsidRPr="00096769" w:rsidTr="008C6119">
        <w:trPr>
          <w:trHeight w:val="58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Предназначена для инвалидов на сохраненную конечность, пользующихся протезами нижних конечностей. Специальные детали – союзка жесткая, или полусоюзка жесткая, или пластина для ортопедической обуви, или шины стальные в зависимости от индивидуальных особенностей Получателя. Подносок (удлиненный или укороченный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серповидный) или язычок жесткий, или передний жесткий клапан, или бочок жесткий в зависимости от индивидуальных особенностей Получателя. Притяжной ремень, тяги, или шнуровка.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 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на протез предназначена для передвижения 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bottom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Предназначена для инвалидов на сохраненную конечность, пользующихся протезами нижних конечностей.  Специальные детали – союзка жесткая, или полусоюзка жесткая, или пластина для ортопедической обуви, или шины стальные в зависимости от индивидуальных особенностей Получателя. Подносок (удлиненный или укороченный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серповидный) или бочок жесткий. Притяжной ремень,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мех (натуральный или искусственный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прессукно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).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на протез предназначена для передвижения 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мех (натуральный или искусственный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прессукно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).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Ортопедическая обувь сложная на аппарат без утепленной подкладки (пара) 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Предназначена для передвижения больных и инвалидов с деформациями, дефектами или функциональной недостаточностью стоп и пользующихся аппаратами на нижние конечности.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</w:t>
            </w:r>
            <w:r w:rsidR="00330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прессукно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Ортопедическая обувь сложная на аппарат на утепленной подкладке (пара) 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Предназначена для передвижения больных и инвалидов с деформациями, дефектами или функциональной недостаточностью стоп и пользующихся аппаратами на нижние конечности. Специальные детали – жесткий задник или бортики задника до носка в зависимости от индивидуальных особенностей Получателя. Подносок (удлиненный или </w:t>
            </w:r>
            <w:r w:rsidR="00330BED"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укороченный,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r w:rsidR="00330BED"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микропористая резина,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прессукно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Ортопедическая обувь на протезы при двусторонней ампутации нижних конечностей (пара)</w:t>
            </w:r>
          </w:p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Предназначена для передвижения 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r w:rsidR="00330BED"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микропористая резина,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формованная подошва.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рантовый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992" w:type="dxa"/>
            <w:vAlign w:val="center"/>
            <w:hideMark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096769" w:rsidRPr="00096769" w:rsidTr="008C6119">
        <w:trPr>
          <w:trHeight w:val="1260"/>
        </w:trPr>
        <w:tc>
          <w:tcPr>
            <w:tcW w:w="568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Вкладной башмачок</w:t>
            </w:r>
          </w:p>
          <w:p w:rsidR="00096769" w:rsidRPr="00096769" w:rsidRDefault="00096769" w:rsidP="00096769">
            <w:pPr>
              <w:suppressAutoHyphens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(для взрослых)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Вкладной элемент в обувь предназначен для инвалидов при ампутации переднего отдела стопы и после ампутации голени по Пирогову. Изготавливается индивидуально по слепку. В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соответствии с функциональным назначением и 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 зависимости от индивидуальных особенностей Получателя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изделиях применяются с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пециальные детали – металлическая пластина, жесткий клапан или жесткий язычок, притяжной ремень или </w:t>
            </w:r>
            <w:r w:rsidR="00330BED"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шнурки,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или лента типа «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велкро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». Материал изготовления верха – хром обувной. Материал изготовления низа – микропористая резина. Материал изготовления </w:t>
            </w:r>
            <w:proofErr w:type="spellStart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подклада</w:t>
            </w:r>
            <w:proofErr w:type="spellEnd"/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– кожа подкладочная, обувные текстильные материалы. М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ежстелечный слой -натуральная кожа, пробковый агломерат, пористые материалы</w:t>
            </w: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Метод крепления – клеевой.</w:t>
            </w:r>
          </w:p>
        </w:tc>
        <w:tc>
          <w:tcPr>
            <w:tcW w:w="992" w:type="dxa"/>
            <w:vAlign w:val="center"/>
          </w:tcPr>
          <w:p w:rsidR="00096769" w:rsidRPr="00096769" w:rsidRDefault="00096769" w:rsidP="00096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шт.</w:t>
            </w:r>
          </w:p>
        </w:tc>
      </w:tr>
    </w:tbl>
    <w:p w:rsidR="00096769" w:rsidRPr="00096769" w:rsidRDefault="00096769" w:rsidP="00096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DF4AFB" w:rsidRPr="00DF4AFB" w:rsidTr="00DF4AFB">
        <w:tc>
          <w:tcPr>
            <w:tcW w:w="3828" w:type="dxa"/>
          </w:tcPr>
          <w:p w:rsidR="00DF4AFB" w:rsidRPr="00DF4AFB" w:rsidRDefault="00DF4AFB" w:rsidP="008C6119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F4AF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6662" w:type="dxa"/>
            <w:vAlign w:val="center"/>
          </w:tcPr>
          <w:p w:rsidR="00DF4AFB" w:rsidRPr="00DF4AFB" w:rsidRDefault="00DF4AFB" w:rsidP="008C6119">
            <w:pPr>
              <w:jc w:val="both"/>
              <w:rPr>
                <w:rFonts w:ascii="Times New Roman" w:hAnsi="Times New Roman" w:cs="Times New Roman"/>
              </w:rPr>
            </w:pPr>
            <w:r w:rsidRPr="00DF4AFB">
              <w:rPr>
                <w:rFonts w:ascii="Times New Roman" w:hAnsi="Times New Roman" w:cs="Times New Roman"/>
                <w:color w:val="000000"/>
                <w:lang w:eastAsia="ru-RU"/>
              </w:rPr>
              <w:t>г. Новосибирск</w:t>
            </w:r>
            <w:bookmarkStart w:id="0" w:name="_GoBack"/>
            <w:bookmarkEnd w:id="0"/>
            <w:r w:rsidRPr="00DF4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Новосибирская область по адресу, указанному Подрядчиком</w:t>
            </w:r>
          </w:p>
        </w:tc>
      </w:tr>
      <w:tr w:rsidR="00DF4AFB" w:rsidRPr="00DF4AFB" w:rsidTr="00DF4AFB">
        <w:tc>
          <w:tcPr>
            <w:tcW w:w="3828" w:type="dxa"/>
          </w:tcPr>
          <w:p w:rsidR="00DF4AFB" w:rsidRPr="00DF4AFB" w:rsidRDefault="00DF4AFB" w:rsidP="008C6119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F4AF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Сроки поставки товара, завершения выполнения работ, оказания услуг</w:t>
            </w:r>
          </w:p>
        </w:tc>
        <w:tc>
          <w:tcPr>
            <w:tcW w:w="6662" w:type="dxa"/>
            <w:vAlign w:val="center"/>
          </w:tcPr>
          <w:p w:rsidR="00DF4AFB" w:rsidRPr="00DF4AFB" w:rsidRDefault="00DF4AFB" w:rsidP="008C6119">
            <w:pPr>
              <w:jc w:val="both"/>
              <w:rPr>
                <w:rFonts w:ascii="Times New Roman" w:hAnsi="Times New Roman" w:cs="Times New Roman"/>
              </w:rPr>
            </w:pPr>
            <w:r w:rsidRPr="00DF4AFB">
              <w:rPr>
                <w:rFonts w:ascii="Times New Roman" w:hAnsi="Times New Roman" w:cs="Times New Roman"/>
                <w:color w:val="000000"/>
                <w:lang w:eastAsia="ru-RU"/>
              </w:rPr>
              <w:t>С даты заключения государственного контракта по 18 декабря 2020 года включительно</w:t>
            </w:r>
          </w:p>
        </w:tc>
      </w:tr>
    </w:tbl>
    <w:p w:rsidR="00DF4AFB" w:rsidRDefault="00DF4AFB" w:rsidP="00096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769" w:rsidRPr="00096769" w:rsidRDefault="00096769" w:rsidP="00096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>абилитации</w:t>
      </w:r>
      <w:proofErr w:type="spellEnd"/>
      <w:r w:rsidRPr="0009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</w:t>
      </w:r>
      <w:r w:rsidRPr="000967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Российской Федерации</w:t>
      </w:r>
      <w:r w:rsidR="00330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769" w:rsidRDefault="00096769" w:rsidP="003D034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sectPr w:rsidR="00096769" w:rsidSect="003D0343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936D42"/>
    <w:multiLevelType w:val="hybridMultilevel"/>
    <w:tmpl w:val="0F78C3EC"/>
    <w:lvl w:ilvl="0" w:tplc="059800A4">
      <w:start w:val="187"/>
      <w:numFmt w:val="bullet"/>
      <w:lvlText w:val="-"/>
      <w:lvlJc w:val="left"/>
      <w:pPr>
        <w:tabs>
          <w:tab w:val="num" w:pos="1610"/>
        </w:tabs>
        <w:ind w:left="1610" w:hanging="8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DC9"/>
    <w:rsid w:val="00055DC9"/>
    <w:rsid w:val="00096769"/>
    <w:rsid w:val="00330BED"/>
    <w:rsid w:val="003D0343"/>
    <w:rsid w:val="00621677"/>
    <w:rsid w:val="00AC6991"/>
    <w:rsid w:val="00B75E6B"/>
    <w:rsid w:val="00BC3299"/>
    <w:rsid w:val="00D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28B8-5DB3-4A42-BDFB-053D5B6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6B"/>
  </w:style>
  <w:style w:type="paragraph" w:styleId="1">
    <w:name w:val="heading 1"/>
    <w:basedOn w:val="a"/>
    <w:next w:val="a"/>
    <w:link w:val="10"/>
    <w:qFormat/>
    <w:rsid w:val="00096769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96769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after="0" w:line="300" w:lineRule="auto"/>
      <w:ind w:left="700"/>
      <w:jc w:val="both"/>
      <w:outlineLvl w:val="1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96769"/>
    <w:pPr>
      <w:keepNext/>
      <w:numPr>
        <w:ilvl w:val="2"/>
        <w:numId w:val="1"/>
      </w:numPr>
      <w:tabs>
        <w:tab w:val="right" w:pos="9354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96769"/>
    <w:pPr>
      <w:keepNext/>
      <w:numPr>
        <w:ilvl w:val="3"/>
        <w:numId w:val="1"/>
      </w:numPr>
      <w:tabs>
        <w:tab w:val="left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9676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6"/>
      <w:szCs w:val="27"/>
      <w:u w:val="single"/>
      <w:lang w:eastAsia="ar-SA"/>
    </w:rPr>
  </w:style>
  <w:style w:type="paragraph" w:styleId="6">
    <w:name w:val="heading 6"/>
    <w:basedOn w:val="a"/>
    <w:next w:val="a"/>
    <w:link w:val="60"/>
    <w:qFormat/>
    <w:rsid w:val="00096769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96769"/>
    <w:pPr>
      <w:keepNext/>
      <w:numPr>
        <w:ilvl w:val="6"/>
        <w:numId w:val="1"/>
      </w:numPr>
      <w:suppressAutoHyphens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96769"/>
    <w:pPr>
      <w:keepNext/>
      <w:numPr>
        <w:ilvl w:val="7"/>
        <w:numId w:val="1"/>
      </w:numPr>
      <w:suppressAutoHyphens/>
      <w:spacing w:after="0" w:line="240" w:lineRule="auto"/>
      <w:ind w:left="-90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96769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9676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96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9676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96769"/>
    <w:rPr>
      <w:rFonts w:ascii="Times New Roman" w:eastAsia="Times New Roman" w:hAnsi="Times New Roman" w:cs="Times New Roman"/>
      <w:bCs/>
      <w:sz w:val="26"/>
      <w:szCs w:val="27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0967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967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967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9676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4</cp:revision>
  <dcterms:created xsi:type="dcterms:W3CDTF">2020-07-29T02:20:00Z</dcterms:created>
  <dcterms:modified xsi:type="dcterms:W3CDTF">2020-08-04T07:42:00Z</dcterms:modified>
</cp:coreProperties>
</file>