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08" w:rsidRDefault="007D411E" w:rsidP="00E0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изготовлению протезов нижних конечностей </w:t>
      </w:r>
      <w:r w:rsidR="0028036B">
        <w:rPr>
          <w:rFonts w:ascii="Times New Roman" w:hAnsi="Times New Roman" w:cs="Times New Roman"/>
          <w:b/>
          <w:sz w:val="28"/>
          <w:szCs w:val="28"/>
        </w:rPr>
        <w:t>для обеспечения инвалидов в 20</w:t>
      </w:r>
      <w:r w:rsidR="008918C7">
        <w:rPr>
          <w:rFonts w:ascii="Times New Roman" w:hAnsi="Times New Roman" w:cs="Times New Roman"/>
          <w:b/>
          <w:sz w:val="28"/>
          <w:szCs w:val="28"/>
        </w:rPr>
        <w:t>20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29D5" w:rsidRPr="00CB37B7" w:rsidRDefault="00CB29D5" w:rsidP="00E07408">
      <w:pPr>
        <w:jc w:val="center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42D52" w:rsidRPr="00CB37B7" w:rsidRDefault="00242D52" w:rsidP="00242D52">
      <w:pPr>
        <w:spacing w:after="0"/>
        <w:ind w:firstLine="539"/>
        <w:jc w:val="both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Протезы нижних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D411E" w:rsidRDefault="007D411E" w:rsidP="00CB29D5">
      <w:pPr>
        <w:spacing w:after="0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технические характеристики выполняемых  работ</w:t>
      </w:r>
      <w:r w:rsidRPr="001918C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6997"/>
      </w:tblGrid>
      <w:tr w:rsidR="008918C7" w:rsidRPr="008109BA" w:rsidTr="008918C7">
        <w:trPr>
          <w:jc w:val="center"/>
        </w:trPr>
        <w:tc>
          <w:tcPr>
            <w:tcW w:w="1819" w:type="dxa"/>
            <w:shd w:val="clear" w:color="auto" w:fill="auto"/>
          </w:tcPr>
          <w:p w:rsidR="008918C7" w:rsidRPr="006D2EAF" w:rsidRDefault="008918C7" w:rsidP="006D2EA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918C7" w:rsidRPr="006D2EAF" w:rsidRDefault="008918C7" w:rsidP="006D2EA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изделия </w:t>
            </w:r>
          </w:p>
        </w:tc>
        <w:tc>
          <w:tcPr>
            <w:tcW w:w="6997" w:type="dxa"/>
            <w:shd w:val="clear" w:color="auto" w:fill="auto"/>
          </w:tcPr>
          <w:p w:rsidR="008918C7" w:rsidRPr="006D2EAF" w:rsidRDefault="008918C7" w:rsidP="006D2EA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технических и функциональных характеристик  изделий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для купания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 гильза по слепку из литьевого слоистого пластика на основе акриловых смол или листового термопластика. В качестве вкладного элемента применяются чехлы силиконовые с матрицей с высоким уровнем поглощения динамических нагрузок или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Крепление протеза голени с использованием полимерных гелиевых наколенников. Регулировочно-соединительные устройства соответствуют весу пациента. Стопа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бескаблучная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,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сцепляемостью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с опорной поверхностью, предотвращающее проскальзывание по мокрой поверхности.  Она имеет естественную форму с отформованными пальцами и отведенным большим пальцем. Все компоненты модульной системы водостойки, имеют улучшенный современный дизайн, подходят для пациентов с весом тела до 150 кг.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для купания с силиконовым чехлом. Приемная гильза индивидуальная из литьевого слоистого пластика на основе акриловых смол, с применением силиконового лайнера на бедро, имеющего высокую эластичность в поперечном направлении, с текстильной матрицей, устраняющей продольное напряжение, крепление при помощи замка для полимерных чехлов. Коленный шарнир водостойкий с миниатюрной гидравлической системой и фиксатором для управления фазой переноса, динамическое сопротивление с регулировкой сгибания и разгибания, отверстия для пропуска воды. Стопа водостойкая, имеющая решетчатый профиль, обладающая хорошей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сцепляемостью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с поверхностью. Косметическая оболочка индивидуального изготовления. Тип протеза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с глубокой посадкой и эластичной облицовкой.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гильза унифицированная или индивидуальная. Материал приемной гильзы - литьевой слоистый пластик на основе акриловых смол. Допускается кожаная гильза. Метод крепления протеза: с использованием гильзы (манжеты с шинами) бедра или с использованием кожаных полуфабрикатов. Стопа с металлическим каркасом, подвижная во всех вертикальных плоскостях с голеностопным шарниром, подвижным в сагиттальной плоскости или стопа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, полиуретановая, монолитная. Облицовка мягкая полиуретановая модульная (поролон).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немодульный, в том числе при </w:t>
            </w: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врожденном недоразвитии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Протез бедра немодульный.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. Постоянная приемная  гильза по слепку из литьевого слоистого пластика на основе акриловых смол или листового термопластика. Смягчающий вкладыш </w:t>
            </w: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вспененных материалов. Крепление протеза поясное или с использованием бандажа. Стопа с металлическим каркасом, подвижная во всех вертикальных плоскостях, или стопа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полиуретановая, монолитная. Коленный шарнир с ручным замком максимальной готовности. Тип протеза 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Протез голени модульный, в том числе при врожденном недоразвитии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(1-2 уровень активности) 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модульного типа 1-2 уровня активности.  Гильза индивидуальная изготовлена по индивидуальному слепку. Приемная пробная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шт.; постоянная гильза из литьевого слоистого пластика на основе акриловых смол; вкладная гильза из вспененных материалов. Крепление протеза голени с использованием кожаных полуфабрикатов или бандажом, регулировочно-соединительные устройства должны соответствовать весу инвалида на нагрузку до 125 кг. Стопа имеет анатомическую форму. Облицовка мягкая полиуретановая модульная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 - постоянный.</w:t>
            </w:r>
          </w:p>
        </w:tc>
      </w:tr>
      <w:tr w:rsidR="006D2EAF" w:rsidRPr="008109BA" w:rsidTr="008918C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(2-3 уровень активности)  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2-3 уровень активности без силиконового чехла. 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гильза изготовленная </w:t>
            </w:r>
            <w:proofErr w:type="gram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по  слепку</w:t>
            </w:r>
            <w:proofErr w:type="gram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из литьевого слоистого пластика на основе акриловых смол.   Вкладная гильза  из вспененных материалов. Крепление протеза с использованием полимерных гелиевых наколенников, кожаных полуфабрикатов или бандажом. Регулировочно-соединительные устройства  соответствуют весу инвалида на нагрузку до 125 кг. Стопа  со средней степенью энергосбережения. Облицовка мягкая полиуретановая модульная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                                                                                                  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D2EAF" w:rsidRPr="006D2EAF" w:rsidRDefault="006D2EAF" w:rsidP="006D2EAF">
            <w:pPr>
              <w:spacing w:after="0"/>
              <w:ind w:left="-108"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Протез голени модульного типа 2-3 уровня активности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Чехлы полимерные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с высоким уровнем стабилизации. Крепление протеза с использованием замка для полимерных чехлов и полимерных гелиевых наколенников. Регулировочно-соединительные устройства  соответствуют весу инвалида на нагрузку до 125 кг. Стопа со средней степенью энергосбережения. Облицовка мягкая модульная полиуретановая (поролон), покрытие облицовки - чулки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2 - 3 уровня активности без силиконового чехла. 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Смягчающий вкладыш из вспененных материалов. Коленный шарнир модульный, полицентрический с пневматическим управлением фазой переноса.  Регулировочно-соединительные устройства соответствуют весу инвалида. Стопа со средней степенью энергосбережения. Облицовка 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. Крепление протеза поясное или с использованием бандажа.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 Тип протеза  - постоянный.</w:t>
            </w:r>
          </w:p>
        </w:tc>
      </w:tr>
      <w:tr w:rsidR="006D2EAF" w:rsidRPr="008109BA" w:rsidTr="008918C7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eastAsia="Calibri" w:hAnsi="Times New Roman" w:cs="Times New Roman"/>
                <w:sz w:val="20"/>
                <w:szCs w:val="20"/>
              </w:rPr>
              <w:t>(2-3 уровень активности)</w:t>
            </w:r>
          </w:p>
          <w:p w:rsidR="006D2EAF" w:rsidRPr="006D2EAF" w:rsidRDefault="006D2EAF" w:rsidP="006D2EAF">
            <w:pPr>
              <w:spacing w:after="0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auto"/>
          </w:tcPr>
          <w:p w:rsidR="006D2EAF" w:rsidRPr="006D2EAF" w:rsidRDefault="006D2EAF" w:rsidP="006D2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2 - 3 уровня активности с силиконовым чехлом. Пробная приемная гильза из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2 шт. Постоянная приемная  гильза по слепку из литьевого слоистого пластика на основе акриловых смол.  Смягчающий вкладыш из вспененных материалов. Коленный шарнир модульный с тормозным механизмом, моноцентрический с толкателем и предохранительным чехлом или четырёхзвенным коленным модулем. Регулировочно-соединительные устройства соответствуют весу инвалида. В качестве вкладного элемента применяются силиконовый </w:t>
            </w:r>
            <w:proofErr w:type="gram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чехол ,</w:t>
            </w:r>
            <w:proofErr w:type="gram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 с использованием замка или вакуумной мембраны с использованием бандажа. Стопа имеет анатомическую форму с гладкой поверхностью. Облицовка </w:t>
            </w:r>
            <w:r w:rsidRPr="006D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6D2EAF">
              <w:rPr>
                <w:rFonts w:ascii="Times New Roman" w:hAnsi="Times New Roman" w:cs="Times New Roman"/>
                <w:sz w:val="20"/>
                <w:szCs w:val="20"/>
              </w:rPr>
              <w:t>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 Тип протеза  - постоянный.</w:t>
            </w:r>
          </w:p>
        </w:tc>
      </w:tr>
    </w:tbl>
    <w:p w:rsidR="00242D52" w:rsidRPr="00017AC7" w:rsidRDefault="00242D52" w:rsidP="00242D5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</w:rPr>
      </w:pPr>
      <w:r w:rsidRPr="00017AC7">
        <w:rPr>
          <w:rFonts w:ascii="Times New Roman" w:hAnsi="Times New Roman"/>
          <w:sz w:val="24"/>
        </w:rPr>
        <w:lastRenderedPageBreak/>
        <w:t>В комплект протезов нижних конечностей входит 8 чехлов, вкладные чехлы по необходимости (кожаные и вспененные).</w:t>
      </w:r>
    </w:p>
    <w:p w:rsidR="003E6E26" w:rsidRDefault="003E6E26" w:rsidP="003E6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52" w:rsidRDefault="00242D52" w:rsidP="00242D52">
      <w:pPr>
        <w:suppressAutoHyphens/>
        <w:spacing w:after="0" w:line="240" w:lineRule="auto"/>
        <w:ind w:firstLine="709"/>
        <w:contextualSpacing/>
        <w:rPr>
          <w:rFonts w:eastAsia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качеству работ:</w:t>
      </w:r>
    </w:p>
    <w:p w:rsidR="00E53DCF" w:rsidRPr="00E53DCF" w:rsidRDefault="00E53DCF" w:rsidP="00E53DCF">
      <w:pPr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Работы по изготовлению инвалидам и отдельным категориям граждан из числа ветеранов протезов нижних конечностей (далее протезов) предусматривает индивидуальное изготовление, обучение пользованию и их выдачу.</w:t>
      </w:r>
    </w:p>
    <w:p w:rsidR="00E53DCF" w:rsidRPr="00E53DCF" w:rsidRDefault="00E53DCF" w:rsidP="00E53DCF">
      <w:pPr>
        <w:spacing w:after="0"/>
        <w:ind w:firstLine="709"/>
        <w:jc w:val="both"/>
        <w:outlineLvl w:val="0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Протезы должны соответствовать требованиям Национальных стандартов Российской Федерации: </w:t>
      </w:r>
      <w:r w:rsidRPr="00E53DC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ГОСТ Р 53869-2010 «</w:t>
      </w:r>
      <w:r w:rsidRPr="00E53D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Протезы нижних конечностей. Технические требования»; </w:t>
      </w: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ГОСТ Р ИСО 22523-2007 «Протезы конечностей и </w:t>
      </w:r>
      <w:proofErr w:type="spellStart"/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ортезы</w:t>
      </w:r>
      <w:proofErr w:type="spellEnd"/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наружные. Требования и методы испытаний»;</w:t>
      </w:r>
      <w:r w:rsidRPr="00E53DC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53DCF">
        <w:rPr>
          <w:rFonts w:ascii="Times New Roman" w:eastAsia="Calibri" w:hAnsi="Times New Roman" w:cs="Times New Roman"/>
          <w:sz w:val="24"/>
          <w:szCs w:val="24"/>
        </w:rPr>
        <w:t>цитотоксичность</w:t>
      </w:r>
      <w:proofErr w:type="spellEnd"/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: методы </w:t>
      </w:r>
      <w:proofErr w:type="spellStart"/>
      <w:r w:rsidRPr="00E53DCF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3DCF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E53DCF">
        <w:rPr>
          <w:rFonts w:ascii="Times New Roman" w:eastAsia="Calibri" w:hAnsi="Times New Roman" w:cs="Times New Roman"/>
          <w:sz w:val="24"/>
          <w:szCs w:val="24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53DCF" w:rsidRPr="00E53DCF" w:rsidRDefault="00E53DCF" w:rsidP="00E53DCF">
      <w:pPr>
        <w:spacing w:after="0"/>
        <w:ind w:firstLine="709"/>
        <w:jc w:val="both"/>
        <w:outlineLvl w:val="0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нижней конечности должна быть определена путем проведения соответствующих испытаний, установленных </w:t>
      </w:r>
      <w:r w:rsidRPr="00E53DC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ГОСТ Р ИСО 10328-2007 «</w:t>
      </w:r>
      <w:r w:rsidRPr="00E53DCF">
        <w:rPr>
          <w:rFonts w:ascii="Times New Roman" w:hAnsi="Times New Roman" w:cs="Times New Roman"/>
          <w:bCs/>
          <w:sz w:val="24"/>
          <w:szCs w:val="24"/>
          <w:lang w:eastAsia="ru-RU"/>
        </w:rPr>
        <w:t>Протезирование. Испытания конструкции протезов нижних конечностей. Требования и методы испытаний»</w:t>
      </w: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</w:t>
      </w:r>
      <w:r w:rsidRPr="00E53DC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ГОСТ Р ИСО 22675-2009 «</w:t>
      </w:r>
      <w:r w:rsidRPr="00E53DCF">
        <w:rPr>
          <w:rFonts w:ascii="Times New Roman" w:hAnsi="Times New Roman" w:cs="Times New Roman"/>
          <w:bCs/>
          <w:sz w:val="24"/>
          <w:szCs w:val="24"/>
          <w:lang w:eastAsia="ru-RU"/>
        </w:rPr>
        <w:t>Протезирование. Испытание голеностопных узлов и узлов стоп протезов нижних конечностей. Требования и методы испытаний»</w:t>
      </w: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</w:t>
      </w:r>
      <w:r w:rsidRPr="00E53DC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ГОСТ Р ИСО 15032-2001 «</w:t>
      </w:r>
      <w:r w:rsidRPr="00E53DCF">
        <w:rPr>
          <w:rFonts w:ascii="Times New Roman" w:hAnsi="Times New Roman" w:cs="Times New Roman"/>
          <w:bCs/>
          <w:sz w:val="24"/>
          <w:szCs w:val="24"/>
          <w:lang w:eastAsia="ru-RU"/>
        </w:rPr>
        <w:t>Протезы. Испытания конструкции тазобедренных узлов</w:t>
      </w: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»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</w:t>
      </w:r>
      <w:proofErr w:type="spellStart"/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нагружения</w:t>
      </w:r>
      <w:proofErr w:type="spellEnd"/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E53DCF" w:rsidRPr="00E53DCF" w:rsidRDefault="00E53DCF" w:rsidP="00E53DCF">
      <w:pPr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E53DCF" w:rsidRPr="00E53DCF" w:rsidRDefault="00E53DCF" w:rsidP="00E53DCF">
      <w:pPr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E53DCF" w:rsidRPr="00E53DCF" w:rsidRDefault="00E53DCF" w:rsidP="00E53DCF">
      <w:pPr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Узлы протезов должны быть стойкими к воздействию физиологических жидкостей (пота, мочи).</w:t>
      </w:r>
    </w:p>
    <w:p w:rsidR="00E53DCF" w:rsidRPr="00E53DCF" w:rsidRDefault="00E53DCF" w:rsidP="00E53DCF">
      <w:pPr>
        <w:autoSpaceDE w:val="0"/>
        <w:autoSpaceDN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53DCF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242D52" w:rsidRDefault="00242D52" w:rsidP="00242D5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242D52" w:rsidRDefault="00242D52" w:rsidP="00242D5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242D52" w:rsidRDefault="00242D52" w:rsidP="00242D5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42D52" w:rsidRDefault="00242D52" w:rsidP="00242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42D52" w:rsidRDefault="00242D52" w:rsidP="00242D52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242D52" w:rsidRDefault="00242D52" w:rsidP="00242D52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результатам работ:</w:t>
      </w:r>
    </w:p>
    <w:p w:rsidR="00242D52" w:rsidRDefault="00242D52" w:rsidP="00242D52">
      <w:pPr>
        <w:snapToGri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42D52" w:rsidRDefault="00242D52" w:rsidP="00242D52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42D52" w:rsidRDefault="00242D52" w:rsidP="00242D52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</w:p>
    <w:p w:rsidR="00242D52" w:rsidRDefault="00242D52" w:rsidP="00242D5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242D52" w:rsidRDefault="00242D52" w:rsidP="00242D5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>Гарантийный срок устанавливается со дня выдачи готового Изделия и его продолжительность должна соответствовать требованиям Республиканского стандарта РСТ РСФСР 644-80 «Изделия протезно-ортопедические. Общие технические требования».</w:t>
      </w:r>
    </w:p>
    <w:p w:rsidR="00242D52" w:rsidRPr="00253283" w:rsidRDefault="00242D52" w:rsidP="00242D5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 Общие технические требования» и должен составлять:</w:t>
      </w:r>
    </w:p>
    <w:p w:rsidR="00E53DCF" w:rsidRPr="00E53DCF" w:rsidRDefault="00E53DCF" w:rsidP="00E53DC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 xml:space="preserve">   - на протезы нижних конечностей немодульного типа не менее 7 месяцев.</w:t>
      </w:r>
    </w:p>
    <w:p w:rsidR="00E53DCF" w:rsidRPr="00E53DCF" w:rsidRDefault="00E53DCF" w:rsidP="00E53DCF">
      <w:pPr>
        <w:widowControl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>- на протезы нижних конечностей модульного типа не менее 12 месяцев.</w:t>
      </w:r>
    </w:p>
    <w:p w:rsidR="00E53DCF" w:rsidRPr="00E53DCF" w:rsidRDefault="00E53DCF" w:rsidP="00E53DC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CF">
        <w:rPr>
          <w:rFonts w:ascii="Times New Roman" w:eastAsia="Calibri" w:hAnsi="Times New Roman" w:cs="Times New Roman"/>
          <w:sz w:val="24"/>
          <w:szCs w:val="24"/>
        </w:rPr>
        <w:t>В течение этого срока предприятие-изготовитель производит замену или ремонт изделия бесплатно. Данная гарантия действительна после подписания Акта сдачи-приемки работ Получателем.</w:t>
      </w:r>
    </w:p>
    <w:p w:rsidR="0028036B" w:rsidRDefault="002B742C" w:rsidP="00E53DC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E53DCF">
        <w:rPr>
          <w:rFonts w:ascii="Times New Roman" w:eastAsia="StarSymbol" w:hAnsi="Times New Roman" w:cs="Times New Roman"/>
          <w:spacing w:val="-2"/>
          <w:sz w:val="24"/>
          <w:szCs w:val="24"/>
        </w:rPr>
        <w:t>Срок пользования Изделием</w:t>
      </w:r>
      <w:r>
        <w:rPr>
          <w:rFonts w:ascii="Times New Roman" w:eastAsia="StarSymbol" w:hAnsi="Times New Roman"/>
          <w:spacing w:val="-2"/>
          <w:sz w:val="24"/>
        </w:rPr>
        <w:t xml:space="preserve"> устанавливается в соответствии с </w:t>
      </w:r>
      <w:r w:rsidR="0028036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46BE5" w:rsidRPr="00236A77" w:rsidRDefault="00346BE5" w:rsidP="00346BE5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346BE5" w:rsidRPr="001C52E3" w:rsidRDefault="00346BE5" w:rsidP="00346BE5">
      <w:pPr>
        <w:tabs>
          <w:tab w:val="left" w:pos="-1701"/>
        </w:tabs>
        <w:spacing w:after="0" w:line="235" w:lineRule="auto"/>
        <w:ind w:firstLine="540"/>
        <w:jc w:val="both"/>
        <w:rPr>
          <w:rStyle w:val="T2"/>
        </w:rPr>
      </w:pPr>
      <w:r w:rsidRPr="001C52E3">
        <w:rPr>
          <w:rFonts w:ascii="Times New Roman" w:hAnsi="Times New Roman"/>
          <w:b/>
          <w:sz w:val="24"/>
        </w:rPr>
        <w:t>Место выполнения работ:</w:t>
      </w:r>
      <w:r w:rsidRPr="001C52E3">
        <w:rPr>
          <w:rFonts w:ascii="Times New Roman" w:hAnsi="Times New Roman"/>
          <w:sz w:val="24"/>
        </w:rPr>
        <w:t xml:space="preserve"> </w:t>
      </w:r>
      <w:r w:rsidRPr="00F069D9">
        <w:rPr>
          <w:rStyle w:val="T2"/>
          <w:bCs/>
        </w:rPr>
        <w:t>Российская Федерация, Д</w:t>
      </w:r>
      <w:r>
        <w:rPr>
          <w:rStyle w:val="T2"/>
          <w:bCs/>
        </w:rPr>
        <w:t>альневосточный федеральный округ</w:t>
      </w:r>
      <w:r w:rsidRPr="00F069D9">
        <w:rPr>
          <w:rStyle w:val="T2"/>
          <w:bCs/>
        </w:rPr>
        <w:t xml:space="preserve">, по месту нахождения </w:t>
      </w:r>
      <w:r>
        <w:rPr>
          <w:rStyle w:val="T2"/>
          <w:bCs/>
        </w:rPr>
        <w:t>и</w:t>
      </w:r>
      <w:r w:rsidRPr="00F069D9">
        <w:rPr>
          <w:rStyle w:val="T2"/>
          <w:bCs/>
        </w:rPr>
        <w:t>сполнителя</w:t>
      </w:r>
      <w:r w:rsidRPr="00F069D9">
        <w:rPr>
          <w:rStyle w:val="T2"/>
        </w:rPr>
        <w:t>.</w:t>
      </w:r>
    </w:p>
    <w:p w:rsidR="00346BE5" w:rsidRDefault="00346BE5" w:rsidP="00346BE5">
      <w:pPr>
        <w:spacing w:after="0"/>
        <w:ind w:firstLine="540"/>
      </w:pPr>
    </w:p>
    <w:p w:rsidR="00346BE5" w:rsidRDefault="00346BE5" w:rsidP="00346BE5">
      <w:pPr>
        <w:autoSpaceDE w:val="0"/>
        <w:spacing w:after="0" w:line="228" w:lineRule="auto"/>
        <w:ind w:firstLine="54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>выполнения работ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</w:t>
      </w:r>
      <w:r w:rsidR="00077725">
        <w:rPr>
          <w:rFonts w:ascii="Times New Roman" w:hAnsi="Times New Roman"/>
          <w:sz w:val="24"/>
        </w:rPr>
        <w:t>момента заключения государственного контракта</w:t>
      </w:r>
      <w:r w:rsidRPr="0079669D">
        <w:rPr>
          <w:rFonts w:ascii="Times New Roman" w:hAnsi="Times New Roman"/>
          <w:sz w:val="24"/>
        </w:rPr>
        <w:t xml:space="preserve"> </w:t>
      </w:r>
      <w:r w:rsidR="005D0AFE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A644E0">
        <w:rPr>
          <w:rFonts w:ascii="Times New Roman" w:hAnsi="Times New Roman"/>
          <w:sz w:val="24"/>
        </w:rPr>
        <w:t>30</w:t>
      </w:r>
      <w:r w:rsidRPr="0079669D">
        <w:rPr>
          <w:rFonts w:ascii="Times New Roman" w:hAnsi="Times New Roman"/>
          <w:sz w:val="24"/>
        </w:rPr>
        <w:t>.</w:t>
      </w:r>
      <w:r w:rsidR="00077725">
        <w:rPr>
          <w:rFonts w:ascii="Times New Roman" w:hAnsi="Times New Roman"/>
          <w:sz w:val="24"/>
        </w:rPr>
        <w:t>1</w:t>
      </w:r>
      <w:r w:rsidR="00A644E0">
        <w:rPr>
          <w:rFonts w:ascii="Times New Roman" w:hAnsi="Times New Roman"/>
          <w:sz w:val="24"/>
        </w:rPr>
        <w:t>1</w:t>
      </w:r>
      <w:r w:rsidRPr="0079669D">
        <w:rPr>
          <w:rFonts w:ascii="Times New Roman" w:hAnsi="Times New Roman"/>
          <w:sz w:val="24"/>
        </w:rPr>
        <w:t>.20</w:t>
      </w:r>
      <w:r w:rsidR="00A14D5D">
        <w:rPr>
          <w:rFonts w:ascii="Times New Roman" w:hAnsi="Times New Roman"/>
          <w:sz w:val="24"/>
        </w:rPr>
        <w:t>20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B742C" w:rsidRDefault="002B742C" w:rsidP="00213FB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выполнения работ Исполнителем с момента обращения Получателя с направлением: не более </w:t>
      </w:r>
      <w:r w:rsidR="007D51AA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дней.</w:t>
      </w:r>
      <w:bookmarkStart w:id="0" w:name="_GoBack"/>
      <w:bookmarkEnd w:id="0"/>
    </w:p>
    <w:sectPr w:rsidR="002B742C" w:rsidSect="007825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4F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0"/>
    <w:rsid w:val="0002712C"/>
    <w:rsid w:val="00077725"/>
    <w:rsid w:val="000959C0"/>
    <w:rsid w:val="000A2FD4"/>
    <w:rsid w:val="000D341A"/>
    <w:rsid w:val="0010133A"/>
    <w:rsid w:val="00117503"/>
    <w:rsid w:val="00117BD9"/>
    <w:rsid w:val="001220C6"/>
    <w:rsid w:val="00136D36"/>
    <w:rsid w:val="00145A80"/>
    <w:rsid w:val="00213FBD"/>
    <w:rsid w:val="002332B6"/>
    <w:rsid w:val="00242D52"/>
    <w:rsid w:val="00257B4B"/>
    <w:rsid w:val="00270E5D"/>
    <w:rsid w:val="002738CE"/>
    <w:rsid w:val="0028036B"/>
    <w:rsid w:val="002B742C"/>
    <w:rsid w:val="002E28E1"/>
    <w:rsid w:val="003201AA"/>
    <w:rsid w:val="00337BAF"/>
    <w:rsid w:val="00344A99"/>
    <w:rsid w:val="00346BE5"/>
    <w:rsid w:val="003651E8"/>
    <w:rsid w:val="00366929"/>
    <w:rsid w:val="003E6E26"/>
    <w:rsid w:val="003F6F0A"/>
    <w:rsid w:val="00403866"/>
    <w:rsid w:val="00410DDF"/>
    <w:rsid w:val="00440F40"/>
    <w:rsid w:val="00475F92"/>
    <w:rsid w:val="004C0949"/>
    <w:rsid w:val="004C534F"/>
    <w:rsid w:val="004C64B2"/>
    <w:rsid w:val="00503CD0"/>
    <w:rsid w:val="0052192D"/>
    <w:rsid w:val="0052762B"/>
    <w:rsid w:val="005755FA"/>
    <w:rsid w:val="00576110"/>
    <w:rsid w:val="00585EA8"/>
    <w:rsid w:val="0059768A"/>
    <w:rsid w:val="005A039A"/>
    <w:rsid w:val="005B2229"/>
    <w:rsid w:val="005B26F7"/>
    <w:rsid w:val="005C158A"/>
    <w:rsid w:val="005C59E7"/>
    <w:rsid w:val="005D0AFE"/>
    <w:rsid w:val="005F6AD0"/>
    <w:rsid w:val="00600989"/>
    <w:rsid w:val="00623BE1"/>
    <w:rsid w:val="00642473"/>
    <w:rsid w:val="00650A22"/>
    <w:rsid w:val="00652D58"/>
    <w:rsid w:val="00653141"/>
    <w:rsid w:val="0066322C"/>
    <w:rsid w:val="00665845"/>
    <w:rsid w:val="00667574"/>
    <w:rsid w:val="006744A4"/>
    <w:rsid w:val="0067501B"/>
    <w:rsid w:val="00683125"/>
    <w:rsid w:val="006B632C"/>
    <w:rsid w:val="006D258F"/>
    <w:rsid w:val="006D2EAF"/>
    <w:rsid w:val="00711C87"/>
    <w:rsid w:val="0075478C"/>
    <w:rsid w:val="0077435E"/>
    <w:rsid w:val="007825BD"/>
    <w:rsid w:val="00792D96"/>
    <w:rsid w:val="007A62D8"/>
    <w:rsid w:val="007B3A3D"/>
    <w:rsid w:val="007B7988"/>
    <w:rsid w:val="007D020F"/>
    <w:rsid w:val="007D411E"/>
    <w:rsid w:val="007D51AA"/>
    <w:rsid w:val="007E3AE3"/>
    <w:rsid w:val="007F5AF8"/>
    <w:rsid w:val="00813682"/>
    <w:rsid w:val="0083035F"/>
    <w:rsid w:val="008339B2"/>
    <w:rsid w:val="008410F0"/>
    <w:rsid w:val="0085536D"/>
    <w:rsid w:val="008558B1"/>
    <w:rsid w:val="008624E1"/>
    <w:rsid w:val="0086548C"/>
    <w:rsid w:val="0087094E"/>
    <w:rsid w:val="00872ADA"/>
    <w:rsid w:val="008918C7"/>
    <w:rsid w:val="008A6341"/>
    <w:rsid w:val="008B6486"/>
    <w:rsid w:val="008F243F"/>
    <w:rsid w:val="00905230"/>
    <w:rsid w:val="00917818"/>
    <w:rsid w:val="00917A1E"/>
    <w:rsid w:val="00940DBC"/>
    <w:rsid w:val="00965963"/>
    <w:rsid w:val="00982780"/>
    <w:rsid w:val="00993A6A"/>
    <w:rsid w:val="009A3833"/>
    <w:rsid w:val="009B0259"/>
    <w:rsid w:val="009B0AE1"/>
    <w:rsid w:val="009C3545"/>
    <w:rsid w:val="009D74E6"/>
    <w:rsid w:val="00A14D5D"/>
    <w:rsid w:val="00A15938"/>
    <w:rsid w:val="00A40006"/>
    <w:rsid w:val="00A644E0"/>
    <w:rsid w:val="00A70C5F"/>
    <w:rsid w:val="00AC6698"/>
    <w:rsid w:val="00AF016D"/>
    <w:rsid w:val="00B125C4"/>
    <w:rsid w:val="00B15B7B"/>
    <w:rsid w:val="00B2363C"/>
    <w:rsid w:val="00B352FF"/>
    <w:rsid w:val="00B610D3"/>
    <w:rsid w:val="00B66C10"/>
    <w:rsid w:val="00B81331"/>
    <w:rsid w:val="00C03EB3"/>
    <w:rsid w:val="00C1659A"/>
    <w:rsid w:val="00C30F4B"/>
    <w:rsid w:val="00C3344C"/>
    <w:rsid w:val="00C34B8D"/>
    <w:rsid w:val="00C721BC"/>
    <w:rsid w:val="00C817D4"/>
    <w:rsid w:val="00CA0AFF"/>
    <w:rsid w:val="00CB29D5"/>
    <w:rsid w:val="00CC48AF"/>
    <w:rsid w:val="00CD753C"/>
    <w:rsid w:val="00D611C6"/>
    <w:rsid w:val="00D8655E"/>
    <w:rsid w:val="00D93197"/>
    <w:rsid w:val="00DA6EE6"/>
    <w:rsid w:val="00DC1014"/>
    <w:rsid w:val="00E07408"/>
    <w:rsid w:val="00E07D92"/>
    <w:rsid w:val="00E113D9"/>
    <w:rsid w:val="00E1365E"/>
    <w:rsid w:val="00E20508"/>
    <w:rsid w:val="00E2330A"/>
    <w:rsid w:val="00E53DCF"/>
    <w:rsid w:val="00E54D21"/>
    <w:rsid w:val="00E86D73"/>
    <w:rsid w:val="00EA3765"/>
    <w:rsid w:val="00EA3B11"/>
    <w:rsid w:val="00ED27E1"/>
    <w:rsid w:val="00ED76FB"/>
    <w:rsid w:val="00F0024B"/>
    <w:rsid w:val="00F615E4"/>
    <w:rsid w:val="00F646A8"/>
    <w:rsid w:val="00F652B1"/>
    <w:rsid w:val="00F7485C"/>
    <w:rsid w:val="00F96774"/>
    <w:rsid w:val="00FB7777"/>
    <w:rsid w:val="00FD72C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1647-3D43-411E-A392-299E2474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5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66</cp:revision>
  <cp:lastPrinted>2020-08-03T07:32:00Z</cp:lastPrinted>
  <dcterms:created xsi:type="dcterms:W3CDTF">2015-10-29T06:52:00Z</dcterms:created>
  <dcterms:modified xsi:type="dcterms:W3CDTF">2020-08-12T14:25:00Z</dcterms:modified>
</cp:coreProperties>
</file>