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FD" w:rsidRDefault="00890BFD" w:rsidP="00890BFD">
      <w:pPr>
        <w:widowControl w:val="0"/>
        <w:jc w:val="center"/>
        <w:rPr>
          <w:b/>
        </w:rPr>
      </w:pPr>
      <w:r w:rsidRPr="003110EC">
        <w:rPr>
          <w:b/>
        </w:rPr>
        <w:t>Техническое задание</w:t>
      </w:r>
    </w:p>
    <w:p w:rsidR="00890BFD" w:rsidRPr="003110EC" w:rsidRDefault="00890BFD" w:rsidP="00890BFD">
      <w:pPr>
        <w:widowControl w:val="0"/>
        <w:jc w:val="center"/>
        <w:rPr>
          <w:b/>
        </w:rPr>
      </w:pPr>
    </w:p>
    <w:p w:rsidR="00890BFD" w:rsidRDefault="00890BFD" w:rsidP="00890BFD">
      <w:pPr>
        <w:jc w:val="center"/>
        <w:rPr>
          <w:b/>
        </w:rPr>
      </w:pPr>
      <w:r w:rsidRPr="003110EC">
        <w:rPr>
          <w:b/>
        </w:rPr>
        <w:t xml:space="preserve">на </w:t>
      </w:r>
      <w:r w:rsidRPr="005B2DBD">
        <w:rPr>
          <w:b/>
        </w:rPr>
        <w:t>выполнение работ по изготовлению протез</w:t>
      </w:r>
      <w:r>
        <w:rPr>
          <w:b/>
        </w:rPr>
        <w:t>ов нижних конечностей</w:t>
      </w:r>
      <w:r w:rsidRPr="005B2DBD">
        <w:rPr>
          <w:b/>
        </w:rPr>
        <w:t xml:space="preserve"> для обеспечения инвалид</w:t>
      </w:r>
      <w:r>
        <w:rPr>
          <w:b/>
        </w:rPr>
        <w:t>а</w:t>
      </w:r>
      <w:r w:rsidRPr="005B2DBD">
        <w:rPr>
          <w:b/>
        </w:rPr>
        <w:t xml:space="preserve"> в 2020 году</w:t>
      </w:r>
    </w:p>
    <w:p w:rsidR="00890BFD" w:rsidRDefault="00890BFD" w:rsidP="00890BFD">
      <w:pPr>
        <w:jc w:val="center"/>
        <w:rPr>
          <w:b/>
        </w:rPr>
      </w:pPr>
    </w:p>
    <w:p w:rsidR="00890BFD" w:rsidRPr="0060031A" w:rsidRDefault="00890BFD" w:rsidP="00890BFD">
      <w:pPr>
        <w:keepNext/>
        <w:ind w:firstLine="540"/>
        <w:jc w:val="both"/>
        <w:rPr>
          <w:u w:val="single"/>
        </w:rPr>
      </w:pPr>
      <w:r w:rsidRPr="0060031A">
        <w:rPr>
          <w:u w:val="single"/>
        </w:rPr>
        <w:t>Предмет закупки</w:t>
      </w:r>
      <w:r w:rsidRPr="0060031A">
        <w:t xml:space="preserve">: </w:t>
      </w:r>
      <w:r w:rsidRPr="0060031A">
        <w:rPr>
          <w:iCs/>
        </w:rPr>
        <w:t>выполнение работ по изготовлению протезов нижних конечностей для обеспечения инвалида в 2020 году</w:t>
      </w:r>
      <w:r w:rsidRPr="0060031A">
        <w:t>.</w:t>
      </w:r>
      <w:r w:rsidRPr="0060031A">
        <w:rPr>
          <w:u w:val="single"/>
        </w:rPr>
        <w:t xml:space="preserve"> </w:t>
      </w:r>
    </w:p>
    <w:p w:rsidR="00890BFD" w:rsidRPr="0060031A" w:rsidRDefault="00890BFD" w:rsidP="00890BFD">
      <w:pPr>
        <w:keepNext/>
        <w:ind w:firstLine="540"/>
        <w:jc w:val="both"/>
      </w:pPr>
      <w:r w:rsidRPr="0060031A">
        <w:rPr>
          <w:u w:val="single"/>
        </w:rPr>
        <w:t xml:space="preserve">Способ определения: </w:t>
      </w:r>
      <w:r w:rsidRPr="0060031A">
        <w:t>открытый конкурс в электронной форме.</w:t>
      </w:r>
    </w:p>
    <w:p w:rsidR="00890BFD" w:rsidRDefault="00890BFD" w:rsidP="00890BFD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</w:rPr>
      </w:pPr>
      <w:r w:rsidRPr="0060031A">
        <w:rPr>
          <w:rStyle w:val="FontStyle19"/>
          <w:u w:val="single"/>
        </w:rPr>
        <w:t xml:space="preserve">Объём выполнения </w:t>
      </w:r>
      <w:proofErr w:type="gramStart"/>
      <w:r w:rsidRPr="0060031A">
        <w:rPr>
          <w:rStyle w:val="FontStyle19"/>
          <w:u w:val="single"/>
        </w:rPr>
        <w:t>работ:</w:t>
      </w:r>
      <w:r w:rsidRPr="0060031A">
        <w:rPr>
          <w:rStyle w:val="FontStyle19"/>
        </w:rPr>
        <w:t xml:space="preserve">  2</w:t>
      </w:r>
      <w:proofErr w:type="gramEnd"/>
      <w:r w:rsidRPr="0060031A">
        <w:rPr>
          <w:rStyle w:val="FontStyle19"/>
        </w:rPr>
        <w:t xml:space="preserve"> </w:t>
      </w:r>
      <w:r>
        <w:rPr>
          <w:rStyle w:val="FontStyle19"/>
        </w:rPr>
        <w:t>штуки</w:t>
      </w:r>
      <w:r w:rsidRPr="0060031A">
        <w:rPr>
          <w:rStyle w:val="FontStyle19"/>
        </w:rPr>
        <w:t>.</w:t>
      </w:r>
      <w:bookmarkStart w:id="0" w:name="_GoBack"/>
      <w:bookmarkEnd w:id="0"/>
    </w:p>
    <w:p w:rsidR="00890BFD" w:rsidRPr="0060031A" w:rsidRDefault="00890BFD" w:rsidP="00890BFD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</w:rPr>
      </w:pPr>
      <w:r>
        <w:rPr>
          <w:u w:val="single"/>
        </w:rPr>
        <w:t>Начальная (максимальная) цена контракта</w:t>
      </w:r>
      <w:r>
        <w:t xml:space="preserve">: </w:t>
      </w:r>
      <w:r>
        <w:rPr>
          <w:b/>
        </w:rPr>
        <w:t>1 710 200 руб. 00 коп</w:t>
      </w:r>
    </w:p>
    <w:p w:rsidR="00890BFD" w:rsidRPr="0060031A" w:rsidRDefault="00890BFD" w:rsidP="00890BFD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u w:val="single"/>
        </w:rPr>
      </w:pPr>
      <w:r w:rsidRPr="0060031A">
        <w:rPr>
          <w:rStyle w:val="FontStyle19"/>
          <w:u w:val="single"/>
        </w:rPr>
        <w:t>Технические характеристики: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804"/>
        <w:gridCol w:w="850"/>
      </w:tblGrid>
      <w:tr w:rsidR="00890BFD" w:rsidRPr="00CD388C" w:rsidTr="003E0FF9">
        <w:trPr>
          <w:trHeight w:val="1963"/>
          <w:tblHeader/>
        </w:trPr>
        <w:tc>
          <w:tcPr>
            <w:tcW w:w="2117" w:type="dxa"/>
          </w:tcPr>
          <w:p w:rsidR="00890BFD" w:rsidRPr="0060031A" w:rsidRDefault="00890BFD" w:rsidP="003E0FF9">
            <w:pPr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60031A">
              <w:rPr>
                <w:bCs/>
                <w:color w:val="000000"/>
                <w:sz w:val="22"/>
                <w:szCs w:val="22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ОКПД2</w:t>
            </w:r>
          </w:p>
        </w:tc>
        <w:tc>
          <w:tcPr>
            <w:tcW w:w="6804" w:type="dxa"/>
            <w:vAlign w:val="center"/>
          </w:tcPr>
          <w:p w:rsidR="00890BFD" w:rsidRPr="0060031A" w:rsidRDefault="00890BFD" w:rsidP="003E0FF9">
            <w:pPr>
              <w:widowControl w:val="0"/>
              <w:ind w:left="180" w:hanging="180"/>
              <w:jc w:val="center"/>
              <w:rPr>
                <w:color w:val="000000"/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BFD" w:rsidRPr="0060031A" w:rsidRDefault="00890BFD" w:rsidP="003E0FF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031A">
              <w:rPr>
                <w:color w:val="000000"/>
                <w:sz w:val="22"/>
                <w:szCs w:val="22"/>
              </w:rPr>
              <w:t>Объем</w:t>
            </w:r>
          </w:p>
          <w:p w:rsidR="00890BFD" w:rsidRPr="0060031A" w:rsidRDefault="00890BFD" w:rsidP="003E0FF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03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0031A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6003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890BFD" w:rsidRPr="00CD388C" w:rsidTr="003E0FF9">
        <w:trPr>
          <w:trHeight w:val="439"/>
          <w:tblHeader/>
        </w:trPr>
        <w:tc>
          <w:tcPr>
            <w:tcW w:w="2117" w:type="dxa"/>
            <w:vMerge w:val="restart"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(8-07-09)</w:t>
            </w:r>
          </w:p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ОКПД2 – 32.50.22.190</w:t>
            </w:r>
          </w:p>
        </w:tc>
        <w:tc>
          <w:tcPr>
            <w:tcW w:w="6804" w:type="dxa"/>
            <w:vMerge w:val="restart"/>
          </w:tcPr>
          <w:p w:rsidR="00890BFD" w:rsidRPr="0060031A" w:rsidRDefault="00890BFD" w:rsidP="003E0FF9">
            <w:pPr>
              <w:pStyle w:val="a3"/>
              <w:widowControl w:val="0"/>
              <w:tabs>
                <w:tab w:val="clear" w:pos="1701"/>
              </w:tabs>
              <w:ind w:left="0" w:hanging="10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 xml:space="preserve">Приемная гильза индивидуального изготовления, по слепку с культи получателя. Материал постоянной гильзы – литьевой слоистый пластик на основе акриловых смол. Изготовление пробных гильз из термопласта. Регулировочно-соединительные устройства соответствуют весовым и нагрузочным параметрам получателя. Крепление при помощи замка и силиконового чехла, изготовленного из силиконов двух видов жесткости, имеющего волнистую структуру, с активными добавками по уходу за кожными покровами культи. Стопа из углепластика с расщепленной носочной частью, с отведенным первым пальцем, с взаимозаменяемыми пяточными клиньями с водоотводящими каналами в титановой пирамидке, с дренажными отверстиями в косметической оболочке. Косметическая облицовка модульная мягкая полужесткая. Покрытие косметической оболочки – чулки ортопедические </w:t>
            </w:r>
            <w:proofErr w:type="spellStart"/>
            <w:r w:rsidRPr="0060031A">
              <w:rPr>
                <w:sz w:val="22"/>
                <w:szCs w:val="22"/>
              </w:rPr>
              <w:t>перлоновые</w:t>
            </w:r>
            <w:proofErr w:type="spellEnd"/>
            <w:r w:rsidRPr="0060031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1</w:t>
            </w: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1675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clear" w:pos="1701"/>
                <w:tab w:val="num" w:pos="1134"/>
              </w:tabs>
              <w:ind w:left="0" w:hanging="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1297"/>
          <w:tblHeader/>
        </w:trPr>
        <w:tc>
          <w:tcPr>
            <w:tcW w:w="2117" w:type="dxa"/>
            <w:vMerge w:val="restart"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(8-07-10)</w:t>
            </w:r>
          </w:p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ОКПД2 – 32.50.22.190</w:t>
            </w:r>
          </w:p>
        </w:tc>
        <w:tc>
          <w:tcPr>
            <w:tcW w:w="6804" w:type="dxa"/>
            <w:vMerge w:val="restart"/>
          </w:tcPr>
          <w:p w:rsidR="00890BFD" w:rsidRPr="0060031A" w:rsidRDefault="00890BFD" w:rsidP="003E0FF9">
            <w:pPr>
              <w:pStyle w:val="a3"/>
              <w:widowControl w:val="0"/>
              <w:tabs>
                <w:tab w:val="clear" w:pos="1701"/>
                <w:tab w:val="num" w:pos="1134"/>
              </w:tabs>
              <w:ind w:left="0" w:hanging="10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 xml:space="preserve">Приемная гильза индивидуального изготовления, по слепку с культи получателя. Материал постоянной гильзы – литьевой слоистый пластик на основе акриловых смол. Изготовление пробных гильз из термопласта. Регулировочно-соединительные устройства соответствуют весовым и нагрузочным параметрам получателя. Применение поворотного устройства с целью улучшения самообслуживания получателя в быту. Одноосный, гидравлический, влагозащищенный коленный модуль с независимой регулировкой фаз сгибания, разгибания, с функцией </w:t>
            </w:r>
            <w:proofErr w:type="spellStart"/>
            <w:r w:rsidRPr="0060031A">
              <w:rPr>
                <w:sz w:val="22"/>
                <w:szCs w:val="22"/>
              </w:rPr>
              <w:t>подтормаживания</w:t>
            </w:r>
            <w:proofErr w:type="spellEnd"/>
            <w:r w:rsidRPr="0060031A">
              <w:rPr>
                <w:sz w:val="22"/>
                <w:szCs w:val="22"/>
              </w:rPr>
              <w:t xml:space="preserve"> под нагрузкой, с функцией ручного замка, с возможностью спуска переменным шагом по ступенькам. Крепление при помощи силиконового чехла и двухточечной ременной системы крепления. Стопа из углепластика с расщепленной носочной частью, с отведенным первым пальцем, с взаимозаменяемыми пяточными клиньями с водоотводящими каналами в титановой пирамидке, с дренажными отверстиями в косметической оболочке. Косметическая облицовка модульная мягкая пенополиуретановая. Покрытие косметической оболочки – чулки ортопедические </w:t>
            </w:r>
            <w:proofErr w:type="spellStart"/>
            <w:r w:rsidRPr="0060031A">
              <w:rPr>
                <w:sz w:val="22"/>
                <w:szCs w:val="22"/>
              </w:rPr>
              <w:t>перлоновые</w:t>
            </w:r>
            <w:proofErr w:type="spellEnd"/>
            <w:r w:rsidRPr="0060031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1</w:t>
            </w: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253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1567"/>
          <w:tblHeader/>
        </w:trPr>
        <w:tc>
          <w:tcPr>
            <w:tcW w:w="2117" w:type="dxa"/>
            <w:vMerge/>
          </w:tcPr>
          <w:p w:rsidR="00890BFD" w:rsidRPr="0060031A" w:rsidRDefault="00890BFD" w:rsidP="003E0FF9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0BFD" w:rsidRPr="00CD388C" w:rsidTr="003E0FF9">
        <w:trPr>
          <w:trHeight w:val="50"/>
          <w:tblHeader/>
        </w:trPr>
        <w:tc>
          <w:tcPr>
            <w:tcW w:w="8921" w:type="dxa"/>
            <w:gridSpan w:val="2"/>
          </w:tcPr>
          <w:p w:rsidR="00890BFD" w:rsidRPr="0060031A" w:rsidRDefault="00890BFD" w:rsidP="003E0FF9">
            <w:pPr>
              <w:pStyle w:val="a3"/>
              <w:widowControl w:val="0"/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0BFD" w:rsidRPr="0060031A" w:rsidRDefault="00890BFD" w:rsidP="003E0FF9">
            <w:pPr>
              <w:widowControl w:val="0"/>
              <w:jc w:val="center"/>
              <w:rPr>
                <w:sz w:val="22"/>
                <w:szCs w:val="22"/>
              </w:rPr>
            </w:pPr>
            <w:r w:rsidRPr="0060031A">
              <w:rPr>
                <w:sz w:val="22"/>
                <w:szCs w:val="22"/>
              </w:rPr>
              <w:t>2</w:t>
            </w:r>
          </w:p>
        </w:tc>
      </w:tr>
    </w:tbl>
    <w:p w:rsidR="00890BFD" w:rsidRPr="000E3391" w:rsidRDefault="00890BFD" w:rsidP="00890BFD">
      <w:pPr>
        <w:keepNext/>
        <w:jc w:val="both"/>
        <w:rPr>
          <w:sz w:val="18"/>
          <w:szCs w:val="18"/>
          <w:u w:val="single"/>
        </w:rPr>
      </w:pPr>
    </w:p>
    <w:p w:rsidR="00890BFD" w:rsidRPr="0060031A" w:rsidRDefault="00890BFD" w:rsidP="00890BFD">
      <w:pPr>
        <w:keepNext/>
        <w:ind w:firstLine="567"/>
        <w:jc w:val="both"/>
      </w:pPr>
      <w:r w:rsidRPr="0060031A">
        <w:rPr>
          <w:u w:val="single"/>
        </w:rPr>
        <w:t xml:space="preserve">Место </w:t>
      </w:r>
      <w:r w:rsidRPr="0060031A">
        <w:rPr>
          <w:rStyle w:val="FontStyle19"/>
          <w:u w:val="single"/>
        </w:rPr>
        <w:t>выполнения работ</w:t>
      </w:r>
      <w:r w:rsidRPr="0060031A">
        <w:t>: Российская Федерация по месту изготовления изделий по индивидуальному заказу Получателя. Работы выполняются Исполнителем лично по месту его нахождения.</w:t>
      </w:r>
    </w:p>
    <w:p w:rsidR="00890BFD" w:rsidRPr="0060031A" w:rsidRDefault="00890BFD" w:rsidP="00890BFD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 w:rsidRPr="0060031A">
        <w:rPr>
          <w:u w:val="single"/>
        </w:rPr>
        <w:t xml:space="preserve">Срок </w:t>
      </w:r>
      <w:r w:rsidRPr="0060031A">
        <w:rPr>
          <w:rStyle w:val="FontStyle19"/>
          <w:u w:val="single"/>
        </w:rPr>
        <w:t>выполнения работ</w:t>
      </w:r>
      <w:r w:rsidRPr="0060031A">
        <w:t>: со дня, следующего за днем заключения контракта и по 30.11.2020</w:t>
      </w:r>
      <w:r w:rsidRPr="0060031A">
        <w:rPr>
          <w:color w:val="FF6600"/>
        </w:rPr>
        <w:t>.</w:t>
      </w:r>
    </w:p>
    <w:p w:rsidR="00890BFD" w:rsidRPr="0060031A" w:rsidRDefault="00890BFD" w:rsidP="00890BFD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 w:rsidRPr="0060031A">
        <w:t>Срок действия Направления с момента подписания настоящего контракта и действует по 15.11.2020</w:t>
      </w:r>
      <w:r w:rsidRPr="0060031A">
        <w:rPr>
          <w:color w:val="FF6600"/>
        </w:rPr>
        <w:t>.</w:t>
      </w:r>
      <w:r w:rsidRPr="0060031A">
        <w:rPr>
          <w:lang w:eastAsia="ar-SA"/>
        </w:rPr>
        <w:t xml:space="preserve"> </w:t>
      </w:r>
    </w:p>
    <w:p w:rsidR="00890BFD" w:rsidRPr="0060031A" w:rsidRDefault="00890BFD" w:rsidP="00890BFD">
      <w:pPr>
        <w:tabs>
          <w:tab w:val="left" w:pos="0"/>
        </w:tabs>
        <w:ind w:firstLine="567"/>
        <w:jc w:val="both"/>
        <w:rPr>
          <w:u w:val="single"/>
        </w:rPr>
      </w:pPr>
      <w:r w:rsidRPr="0060031A">
        <w:rPr>
          <w:u w:val="single"/>
        </w:rPr>
        <w:t>Требования к гарантии качества:</w:t>
      </w:r>
    </w:p>
    <w:p w:rsidR="00890BFD" w:rsidRPr="0060031A" w:rsidRDefault="00890BFD" w:rsidP="00890BFD">
      <w:pPr>
        <w:widowControl w:val="0"/>
        <w:autoSpaceDE w:val="0"/>
        <w:autoSpaceDN w:val="0"/>
        <w:adjustRightInd w:val="0"/>
        <w:ind w:firstLine="567"/>
        <w:jc w:val="both"/>
      </w:pPr>
      <w:r w:rsidRPr="0060031A">
        <w:t xml:space="preserve">Гарантийный срок на протезы устанавливается со дня выдачи готового изделия в </w:t>
      </w:r>
      <w:proofErr w:type="gramStart"/>
      <w:r w:rsidRPr="0060031A">
        <w:t>эксплуатацию</w:t>
      </w:r>
      <w:proofErr w:type="gramEnd"/>
      <w:r w:rsidRPr="0060031A">
        <w:t xml:space="preserve"> а именно:</w:t>
      </w:r>
    </w:p>
    <w:p w:rsidR="00890BFD" w:rsidRPr="0060031A" w:rsidRDefault="00890BFD" w:rsidP="00890BFD">
      <w:pPr>
        <w:widowControl w:val="0"/>
        <w:ind w:right="154" w:firstLine="567"/>
        <w:jc w:val="both"/>
      </w:pPr>
      <w:r w:rsidRPr="0060031A">
        <w:t xml:space="preserve">         - Протез бедра модульный, в том числе при врожденном недоразвитии - не менее 12 месяцев;</w:t>
      </w:r>
    </w:p>
    <w:p w:rsidR="00890BFD" w:rsidRPr="0060031A" w:rsidRDefault="00890BFD" w:rsidP="00890BFD">
      <w:pPr>
        <w:widowControl w:val="0"/>
        <w:ind w:right="154" w:firstLine="567"/>
        <w:jc w:val="both"/>
      </w:pPr>
      <w:r w:rsidRPr="0060031A">
        <w:t xml:space="preserve">         - Протез голени модульный, в том числе при недоразвитии – не менее 12 месяцев.</w:t>
      </w:r>
    </w:p>
    <w:p w:rsidR="00890BFD" w:rsidRPr="0060031A" w:rsidRDefault="00890BFD" w:rsidP="00890BFD">
      <w:pPr>
        <w:widowControl w:val="0"/>
        <w:ind w:right="154" w:firstLine="567"/>
        <w:jc w:val="both"/>
      </w:pPr>
      <w:r w:rsidRPr="0060031A">
        <w:t>В течение этого срока Исполнитель производит замену или ремонт изделия бесплатно. Проезд инвалида к месту проведения гарантийного ремонта или замены изделия оплачивается Исполнителем.</w:t>
      </w:r>
    </w:p>
    <w:p w:rsidR="00890BFD" w:rsidRPr="0060031A" w:rsidRDefault="00890BFD" w:rsidP="00890BFD">
      <w:pPr>
        <w:widowControl w:val="0"/>
        <w:autoSpaceDE w:val="0"/>
        <w:autoSpaceDN w:val="0"/>
        <w:adjustRightInd w:val="0"/>
        <w:ind w:firstLine="567"/>
        <w:jc w:val="both"/>
      </w:pPr>
      <w:r w:rsidRPr="0060031A">
        <w:t>Исполнитель обязан предоставить декларации о соответствии, либо сертификаты соответствия (в случае, если на выполняемые работы в соответствии с законодательством Российской Федерации предусмотрено оформление указанных документов).</w:t>
      </w:r>
    </w:p>
    <w:p w:rsidR="00890BFD" w:rsidRPr="0060031A" w:rsidRDefault="00890BFD" w:rsidP="00890BFD">
      <w:pPr>
        <w:widowControl w:val="0"/>
        <w:autoSpaceDE w:val="0"/>
        <w:autoSpaceDN w:val="0"/>
        <w:adjustRightInd w:val="0"/>
        <w:ind w:firstLine="567"/>
        <w:jc w:val="both"/>
      </w:pPr>
      <w:r w:rsidRPr="0060031A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90BFD" w:rsidRPr="0060031A" w:rsidRDefault="00890BFD" w:rsidP="00890BFD">
      <w:pPr>
        <w:tabs>
          <w:tab w:val="left" w:pos="0"/>
        </w:tabs>
        <w:ind w:firstLine="567"/>
        <w:rPr>
          <w:u w:val="single"/>
        </w:rPr>
      </w:pPr>
      <w:r w:rsidRPr="0060031A">
        <w:rPr>
          <w:u w:val="single"/>
        </w:rPr>
        <w:t xml:space="preserve">Условия </w:t>
      </w:r>
      <w:r w:rsidRPr="0060031A">
        <w:rPr>
          <w:rStyle w:val="FontStyle19"/>
          <w:u w:val="single"/>
        </w:rPr>
        <w:t>выполнения работ ПНК</w:t>
      </w:r>
      <w:r w:rsidRPr="0060031A">
        <w:t>:</w:t>
      </w:r>
    </w:p>
    <w:p w:rsidR="00890BFD" w:rsidRPr="0060031A" w:rsidRDefault="00890BFD" w:rsidP="00890BF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0031A">
        <w:rPr>
          <w:rFonts w:ascii="Times New Roman" w:hAnsi="Times New Roman" w:cs="Times New Roman"/>
        </w:rPr>
        <w:t xml:space="preserve">Протез нижней конечности должен соответствовать требованиям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22523-2007. «Протезы конечностей и </w:t>
      </w:r>
      <w:proofErr w:type="spellStart"/>
      <w:r w:rsidRPr="0060031A">
        <w:rPr>
          <w:rFonts w:ascii="Times New Roman" w:hAnsi="Times New Roman" w:cs="Times New Roman"/>
        </w:rPr>
        <w:t>ортезы</w:t>
      </w:r>
      <w:proofErr w:type="spellEnd"/>
      <w:r w:rsidRPr="0060031A">
        <w:rPr>
          <w:rFonts w:ascii="Times New Roman" w:hAnsi="Times New Roman" w:cs="Times New Roman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0031A">
        <w:rPr>
          <w:rFonts w:ascii="Times New Roman" w:hAnsi="Times New Roman" w:cs="Times New Roman"/>
        </w:rPr>
        <w:t>цитотоксичность</w:t>
      </w:r>
      <w:proofErr w:type="spellEnd"/>
      <w:r w:rsidRPr="0060031A">
        <w:rPr>
          <w:rFonts w:ascii="Times New Roman" w:hAnsi="Times New Roman" w:cs="Times New Roman"/>
        </w:rPr>
        <w:t xml:space="preserve">: методы </w:t>
      </w:r>
      <w:proofErr w:type="spellStart"/>
      <w:r w:rsidRPr="0060031A">
        <w:rPr>
          <w:rFonts w:ascii="Times New Roman" w:hAnsi="Times New Roman" w:cs="Times New Roman"/>
        </w:rPr>
        <w:t>in</w:t>
      </w:r>
      <w:proofErr w:type="spellEnd"/>
      <w:r w:rsidRPr="0060031A">
        <w:rPr>
          <w:rFonts w:ascii="Times New Roman" w:hAnsi="Times New Roman" w:cs="Times New Roman"/>
        </w:rPr>
        <w:t xml:space="preserve"> </w:t>
      </w:r>
      <w:proofErr w:type="spellStart"/>
      <w:r w:rsidRPr="0060031A">
        <w:rPr>
          <w:rFonts w:ascii="Times New Roman" w:hAnsi="Times New Roman" w:cs="Times New Roman"/>
        </w:rPr>
        <w:t>vitro</w:t>
      </w:r>
      <w:proofErr w:type="spellEnd"/>
      <w:r w:rsidRPr="0060031A">
        <w:rPr>
          <w:rFonts w:ascii="Times New Roman" w:hAnsi="Times New Roman" w:cs="Times New Roman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</w:t>
      </w:r>
      <w:r w:rsidRPr="0060031A">
        <w:rPr>
          <w:rFonts w:ascii="Times New Roman" w:hAnsi="Times New Roman" w:cs="Times New Roman"/>
          <w:color w:val="FF0000"/>
        </w:rPr>
        <w:t xml:space="preserve"> </w:t>
      </w:r>
      <w:r w:rsidRPr="0060031A">
        <w:rPr>
          <w:rFonts w:ascii="Times New Roman" w:hAnsi="Times New Roman" w:cs="Times New Roman"/>
        </w:rPr>
        <w:t>«Изделия медицинские.  Требования безопасности. Методы санитарно-химических и токсикологических испытаний».</w:t>
      </w:r>
    </w:p>
    <w:p w:rsidR="00890BFD" w:rsidRPr="0060031A" w:rsidRDefault="00890BFD" w:rsidP="00890BF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0031A">
        <w:rPr>
          <w:rFonts w:ascii="Times New Roman" w:hAnsi="Times New Roman" w:cs="Times New Roman"/>
        </w:rPr>
        <w:t xml:space="preserve">Протез нижней конечности должен собираться из узлов, с учетом предельной массы тела и активности Получателя. Протез нижней конечности должен быть прочным и выдерживать нагрузку при его применении Получателем способом, назначенным Исполнителем и установленным в инструкции по применению по ГОСТ Р ИСО 22523-2007 «Протезы конечностей и </w:t>
      </w:r>
      <w:proofErr w:type="spellStart"/>
      <w:r w:rsidRPr="0060031A">
        <w:rPr>
          <w:rFonts w:ascii="Times New Roman" w:hAnsi="Times New Roman" w:cs="Times New Roman"/>
        </w:rPr>
        <w:t>ортезы</w:t>
      </w:r>
      <w:proofErr w:type="spellEnd"/>
      <w:r w:rsidRPr="0060031A">
        <w:rPr>
          <w:rFonts w:ascii="Times New Roman" w:hAnsi="Times New Roman" w:cs="Times New Roman"/>
        </w:rPr>
        <w:t xml:space="preserve"> наружные. Требования и методы испытаний».</w:t>
      </w:r>
    </w:p>
    <w:p w:rsidR="00890BFD" w:rsidRPr="0060031A" w:rsidRDefault="00890BFD" w:rsidP="00890BF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0031A">
        <w:rPr>
          <w:rFonts w:ascii="Times New Roman" w:hAnsi="Times New Roman" w:cs="Times New Roman"/>
        </w:rPr>
        <w:t>Приемные гильзы и элементы крепления протеза нижней конечности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890BFD" w:rsidRPr="0060031A" w:rsidRDefault="00890BFD" w:rsidP="00890BF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0031A">
        <w:rPr>
          <w:rFonts w:ascii="Times New Roman" w:hAnsi="Times New Roman" w:cs="Times New Roman"/>
        </w:rPr>
        <w:t xml:space="preserve">Узлы протеза должны быть </w:t>
      </w:r>
      <w:proofErr w:type="gramStart"/>
      <w:r w:rsidRPr="0060031A">
        <w:rPr>
          <w:rFonts w:ascii="Times New Roman" w:hAnsi="Times New Roman" w:cs="Times New Roman"/>
        </w:rPr>
        <w:t>устойчивыми  к</w:t>
      </w:r>
      <w:proofErr w:type="gramEnd"/>
      <w:r w:rsidRPr="0060031A">
        <w:rPr>
          <w:rFonts w:ascii="Times New Roman" w:hAnsi="Times New Roman" w:cs="Times New Roman"/>
        </w:rPr>
        <w:t xml:space="preserve"> воздействию агрессивных биологических жидкостей (пота, мочи).</w:t>
      </w:r>
    </w:p>
    <w:p w:rsidR="00890BFD" w:rsidRPr="0060031A" w:rsidRDefault="00890BFD" w:rsidP="00890BF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0031A">
        <w:rPr>
          <w:rFonts w:ascii="Times New Roman" w:hAnsi="Times New Roman" w:cs="Times New Roman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890BFD" w:rsidRPr="0060031A" w:rsidRDefault="00890BFD" w:rsidP="00890BFD">
      <w:pPr>
        <w:widowControl w:val="0"/>
        <w:ind w:firstLine="540"/>
        <w:jc w:val="both"/>
      </w:pPr>
      <w:r w:rsidRPr="0060031A">
        <w:t>Приемная гильза протеза нижней конечности</w:t>
      </w:r>
      <w:r w:rsidRPr="0060031A">
        <w:rPr>
          <w:b/>
        </w:rPr>
        <w:t xml:space="preserve"> </w:t>
      </w:r>
      <w:r w:rsidRPr="0060031A">
        <w:t xml:space="preserve">должна быть индивидуального изготовления (по слепку с культи или по модели изготовленной с помощью электронной версии) или максимальной готовности (металлические или из композиционных </w:t>
      </w:r>
      <w:r w:rsidRPr="0060031A">
        <w:lastRenderedPageBreak/>
        <w:t>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890BFD" w:rsidRPr="0060031A" w:rsidRDefault="00890BFD" w:rsidP="00890BFD">
      <w:pPr>
        <w:widowControl w:val="0"/>
        <w:ind w:firstLine="540"/>
        <w:jc w:val="both"/>
      </w:pPr>
      <w:r w:rsidRPr="0060031A"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890BFD" w:rsidRPr="0060031A" w:rsidRDefault="00890BFD" w:rsidP="00890BFD">
      <w:pPr>
        <w:widowControl w:val="0"/>
        <w:ind w:firstLine="540"/>
        <w:jc w:val="both"/>
      </w:pPr>
      <w:r w:rsidRPr="0060031A">
        <w:t>Работы по обеспечению Получателя протезами нижних конечностей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протезами должны быть выполнены с надлежащим качеством и в установленные сроки.</w:t>
      </w:r>
    </w:p>
    <w:p w:rsidR="00890BFD" w:rsidRPr="0060031A" w:rsidRDefault="00890BFD" w:rsidP="00890BFD">
      <w:pPr>
        <w:widowControl w:val="0"/>
        <w:ind w:firstLine="540"/>
        <w:jc w:val="both"/>
      </w:pPr>
      <w:r w:rsidRPr="0060031A">
        <w:t>При необходимости отправка протезов к месту нахождения Получателя 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890BFD" w:rsidRPr="0060031A" w:rsidRDefault="00890BFD" w:rsidP="00890BFD">
      <w:pPr>
        <w:widowControl w:val="0"/>
        <w:ind w:firstLine="540"/>
        <w:jc w:val="both"/>
      </w:pPr>
      <w:r w:rsidRPr="0060031A"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890BFD" w:rsidRPr="0060031A" w:rsidRDefault="00890BFD" w:rsidP="00890BFD">
      <w:pPr>
        <w:widowControl w:val="0"/>
        <w:ind w:firstLine="540"/>
        <w:jc w:val="both"/>
        <w:rPr>
          <w:rStyle w:val="FontStyle19"/>
        </w:rPr>
      </w:pPr>
      <w:r w:rsidRPr="0060031A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90BFD" w:rsidRPr="0060031A" w:rsidRDefault="00890BFD" w:rsidP="00890BFD">
      <w:pPr>
        <w:widowControl w:val="0"/>
        <w:ind w:firstLine="567"/>
        <w:jc w:val="both"/>
        <w:rPr>
          <w:u w:val="single"/>
        </w:rPr>
      </w:pPr>
      <w:r w:rsidRPr="0060031A">
        <w:rPr>
          <w:u w:val="single"/>
        </w:rPr>
        <w:t xml:space="preserve">Требование: </w:t>
      </w:r>
    </w:p>
    <w:p w:rsidR="00890BFD" w:rsidRPr="0060031A" w:rsidRDefault="00890BFD" w:rsidP="00890BFD">
      <w:pPr>
        <w:ind w:firstLine="567"/>
        <w:jc w:val="both"/>
        <w:rPr>
          <w:b/>
          <w:bCs/>
        </w:rPr>
      </w:pPr>
      <w:r w:rsidRPr="0060031A">
        <w:t>Исполнитель обязан обеспечить (при необходимости) бесплатное размещение инвалида в собственном/арендуемом стационаре.</w:t>
      </w:r>
    </w:p>
    <w:p w:rsidR="00890BFD" w:rsidRPr="0060031A" w:rsidRDefault="00890BFD" w:rsidP="00890BFD">
      <w:pPr>
        <w:jc w:val="center"/>
        <w:rPr>
          <w:b/>
        </w:rPr>
      </w:pPr>
    </w:p>
    <w:p w:rsidR="00890BFD" w:rsidRDefault="00890BFD" w:rsidP="00890BFD">
      <w:pPr>
        <w:jc w:val="center"/>
        <w:rPr>
          <w:b/>
        </w:rPr>
      </w:pPr>
    </w:p>
    <w:p w:rsidR="00B62416" w:rsidRDefault="00890BFD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D"/>
    <w:rsid w:val="00142702"/>
    <w:rsid w:val="003F1B01"/>
    <w:rsid w:val="008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31B0-F1CA-4FEB-8A3A-CB4521A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90BF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90BF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890BFD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890BFD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890B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2020-08-28T06:12:00Z</dcterms:created>
  <dcterms:modified xsi:type="dcterms:W3CDTF">2020-08-28T06:13:00Z</dcterms:modified>
</cp:coreProperties>
</file>