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7C" w:rsidRPr="00E667C8" w:rsidRDefault="002A0E7C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C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5189C" w:rsidRDefault="00526EB6" w:rsidP="00CF5A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 xml:space="preserve">на выполнение работ по изготовлению </w:t>
      </w:r>
      <w:r w:rsidR="00AC6643">
        <w:rPr>
          <w:rFonts w:ascii="Times New Roman" w:hAnsi="Times New Roman" w:cs="Times New Roman"/>
          <w:sz w:val="24"/>
          <w:szCs w:val="24"/>
        </w:rPr>
        <w:t>протезов верхних конечностей</w:t>
      </w:r>
    </w:p>
    <w:p w:rsidR="00526EB6" w:rsidRDefault="00526EB6" w:rsidP="00CF5A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>инвалид</w:t>
      </w:r>
      <w:r w:rsidR="00E31F7F">
        <w:rPr>
          <w:rFonts w:ascii="Times New Roman" w:hAnsi="Times New Roman" w:cs="Times New Roman"/>
          <w:sz w:val="24"/>
          <w:szCs w:val="24"/>
        </w:rPr>
        <w:t>ам</w:t>
      </w:r>
      <w:r w:rsidRPr="00526EB6">
        <w:rPr>
          <w:rFonts w:ascii="Times New Roman" w:hAnsi="Times New Roman" w:cs="Times New Roman"/>
          <w:sz w:val="24"/>
          <w:szCs w:val="24"/>
        </w:rPr>
        <w:t xml:space="preserve"> </w:t>
      </w:r>
      <w:r w:rsidR="00E31F7F" w:rsidRPr="00E31F7F">
        <w:rPr>
          <w:rFonts w:ascii="Times New Roman" w:hAnsi="Times New Roman" w:cs="Times New Roman"/>
          <w:sz w:val="24"/>
          <w:szCs w:val="24"/>
        </w:rPr>
        <w:t>и отдельным категориям граждан из числа ветеранов</w:t>
      </w:r>
      <w:r w:rsidR="00E31F7F" w:rsidRPr="00526EB6">
        <w:rPr>
          <w:rFonts w:ascii="Times New Roman" w:hAnsi="Times New Roman" w:cs="Times New Roman"/>
          <w:sz w:val="24"/>
          <w:szCs w:val="24"/>
        </w:rPr>
        <w:t xml:space="preserve"> </w:t>
      </w:r>
      <w:r w:rsidRPr="00526EB6">
        <w:rPr>
          <w:rFonts w:ascii="Times New Roman" w:hAnsi="Times New Roman" w:cs="Times New Roman"/>
          <w:sz w:val="24"/>
          <w:szCs w:val="24"/>
        </w:rPr>
        <w:t>в 2020 году</w:t>
      </w:r>
    </w:p>
    <w:p w:rsidR="00D86661" w:rsidRDefault="00D86661" w:rsidP="00CF5A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661" w:rsidRPr="00D86661" w:rsidRDefault="001939AE" w:rsidP="00D8666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значение</w:t>
      </w:r>
      <w:r w:rsidR="00D86661" w:rsidRPr="00D86661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86661" w:rsidRPr="00D86661">
        <w:rPr>
          <w:rFonts w:ascii="Times New Roman" w:hAnsi="Times New Roman" w:cs="Times New Roman"/>
          <w:sz w:val="24"/>
          <w:szCs w:val="24"/>
        </w:rPr>
        <w:t xml:space="preserve"> контракта: </w:t>
      </w:r>
      <w:r w:rsidR="00AC6643">
        <w:rPr>
          <w:rFonts w:ascii="Times New Roman" w:hAnsi="Times New Roman" w:cs="Times New Roman"/>
          <w:sz w:val="24"/>
          <w:szCs w:val="24"/>
        </w:rPr>
        <w:t>2 933 545</w:t>
      </w:r>
      <w:r w:rsidR="00F11E8F">
        <w:rPr>
          <w:rFonts w:ascii="Times New Roman" w:hAnsi="Times New Roman" w:cs="Times New Roman"/>
          <w:sz w:val="24"/>
          <w:szCs w:val="24"/>
        </w:rPr>
        <w:t xml:space="preserve"> </w:t>
      </w:r>
      <w:r w:rsidR="00D86661" w:rsidRPr="00D86661">
        <w:rPr>
          <w:rFonts w:ascii="Times New Roman" w:hAnsi="Times New Roman" w:cs="Times New Roman"/>
          <w:sz w:val="24"/>
          <w:szCs w:val="24"/>
        </w:rPr>
        <w:t>(</w:t>
      </w:r>
      <w:r w:rsidR="00AC6643">
        <w:rPr>
          <w:rFonts w:ascii="Times New Roman" w:hAnsi="Times New Roman" w:cs="Times New Roman"/>
          <w:sz w:val="24"/>
          <w:szCs w:val="24"/>
        </w:rPr>
        <w:t>два миллиона девятьсот тридцать три тысячи пятьсот сорок пять)</w:t>
      </w:r>
      <w:r w:rsidR="00D86661" w:rsidRPr="00D86661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D86661" w:rsidRPr="00D86661">
        <w:rPr>
          <w:rFonts w:ascii="Times New Roman" w:hAnsi="Times New Roman" w:cs="Times New Roman"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sz w:val="24"/>
          <w:szCs w:val="24"/>
        </w:rPr>
        <w:t>еек.</w:t>
      </w:r>
    </w:p>
    <w:p w:rsidR="00D86661" w:rsidRDefault="00D86661" w:rsidP="00F11E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661">
        <w:rPr>
          <w:rFonts w:ascii="Times New Roman" w:hAnsi="Times New Roman" w:cs="Times New Roman"/>
          <w:sz w:val="24"/>
          <w:szCs w:val="24"/>
        </w:rPr>
        <w:t xml:space="preserve">Начальная сумма цен единиц работ: </w:t>
      </w:r>
      <w:r w:rsidR="007A2A83">
        <w:rPr>
          <w:rFonts w:ascii="Times New Roman" w:hAnsi="Times New Roman" w:cs="Times New Roman"/>
          <w:sz w:val="24"/>
          <w:szCs w:val="24"/>
        </w:rPr>
        <w:t xml:space="preserve">3 394 556,68 </w:t>
      </w:r>
      <w:r w:rsidRPr="00D86661">
        <w:rPr>
          <w:rFonts w:ascii="Times New Roman" w:hAnsi="Times New Roman" w:cs="Times New Roman"/>
          <w:sz w:val="24"/>
          <w:szCs w:val="24"/>
        </w:rPr>
        <w:t>(</w:t>
      </w:r>
      <w:r w:rsidR="007A2A83">
        <w:rPr>
          <w:rFonts w:ascii="Times New Roman" w:hAnsi="Times New Roman" w:cs="Times New Roman"/>
          <w:sz w:val="24"/>
          <w:szCs w:val="24"/>
        </w:rPr>
        <w:t>три миллиона триста девян</w:t>
      </w:r>
      <w:r w:rsidR="009D0ACC">
        <w:rPr>
          <w:rFonts w:ascii="Times New Roman" w:hAnsi="Times New Roman" w:cs="Times New Roman"/>
          <w:sz w:val="24"/>
          <w:szCs w:val="24"/>
        </w:rPr>
        <w:t>осто четыре тысячи пятьсот пятьдесят шесть</w:t>
      </w:r>
      <w:r w:rsidRPr="00D86661">
        <w:rPr>
          <w:rFonts w:ascii="Times New Roman" w:hAnsi="Times New Roman" w:cs="Times New Roman"/>
          <w:sz w:val="24"/>
          <w:szCs w:val="24"/>
        </w:rPr>
        <w:t>) руб</w:t>
      </w:r>
      <w:r w:rsidR="001939AE">
        <w:rPr>
          <w:rFonts w:ascii="Times New Roman" w:hAnsi="Times New Roman" w:cs="Times New Roman"/>
          <w:sz w:val="24"/>
          <w:szCs w:val="24"/>
        </w:rPr>
        <w:t>лей</w:t>
      </w:r>
      <w:r w:rsidRPr="00D86661">
        <w:rPr>
          <w:rFonts w:ascii="Times New Roman" w:hAnsi="Times New Roman" w:cs="Times New Roman"/>
          <w:sz w:val="24"/>
          <w:szCs w:val="24"/>
        </w:rPr>
        <w:t xml:space="preserve"> </w:t>
      </w:r>
      <w:r w:rsidR="009D0ACC">
        <w:rPr>
          <w:rFonts w:ascii="Times New Roman" w:hAnsi="Times New Roman" w:cs="Times New Roman"/>
          <w:sz w:val="24"/>
          <w:szCs w:val="24"/>
        </w:rPr>
        <w:t>68</w:t>
      </w:r>
      <w:r w:rsidR="00F11E8F">
        <w:rPr>
          <w:rFonts w:ascii="Times New Roman" w:hAnsi="Times New Roman" w:cs="Times New Roman"/>
          <w:sz w:val="24"/>
          <w:szCs w:val="24"/>
        </w:rPr>
        <w:t xml:space="preserve"> </w:t>
      </w:r>
      <w:r w:rsidRPr="00D86661">
        <w:rPr>
          <w:rFonts w:ascii="Times New Roman" w:hAnsi="Times New Roman" w:cs="Times New Roman"/>
          <w:sz w:val="24"/>
          <w:szCs w:val="24"/>
        </w:rPr>
        <w:t>коп</w:t>
      </w:r>
      <w:r w:rsidR="001939AE">
        <w:rPr>
          <w:rFonts w:ascii="Times New Roman" w:hAnsi="Times New Roman" w:cs="Times New Roman"/>
          <w:sz w:val="24"/>
          <w:szCs w:val="24"/>
        </w:rPr>
        <w:t>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7C8" w:rsidRDefault="00E667C8" w:rsidP="00F11E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557"/>
        <w:gridCol w:w="1906"/>
        <w:gridCol w:w="6026"/>
        <w:gridCol w:w="1684"/>
      </w:tblGrid>
      <w:tr w:rsidR="00E667C8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Цена за единицу, руб.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пальца функционально-косметический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пальца функционально-косметический.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для протезирования после ампутации пальцев кисти в пределах средней и основной фаланг. Материал: силикон.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9125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5 567,00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при вычленении кисти косметический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при вычленении кисти косметический; взро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лый; кист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ь-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косметическая силиконовая с нейлоновой армирующей сеткой; дополнительное РСУ отсутствует; приспособление отсутствует; оболочка косметическая отсутствует; тип крепления - подгоночное или индив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дуальное.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23 456,33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кисти косметический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кисти косметический.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Предназначен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для прот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зирования инвалидов с односторонней или двухсторо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ней ампутацией кисти, управление сохранившейся 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кой или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Кисть косметическая силик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новая с нейлоновой армирующей сеткой, улучшенной конструкции, с детализированными папиллярными л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ниями, венами и суставами пальцев кисти, со специал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ь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ным скользящим покрытием, снижающим трение ко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метической оболочки. Назначение протеза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постоянный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46 011,67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кисти рабочий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кисти рабочий, комбинированный, взрослый. Управление сохранившейся рукой или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Адаптер для присоединения рабочих насадок с цили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дрическим хвостиком диаметром 10 мм. Комплект 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бочих насадок (не более трёх). Приёмная гильза инд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видуальная, изготовленная по слепку с культи инвал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да. Материал приёмной гильзы: литьевой слоистый пластик на основе акриловых смол или листовой те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мопласт или кожа. Крепление при помощи кожаных п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луфабрикатов.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92 290,33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при вычленении кисти активный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при вычленении кисти активный.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Предназначен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для компенсации врожденных и ампутационных дефе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тов кисти, при сохранении лучезапястного сустава. 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стоит из двух частей – каркасные активные элементы и приемная гильза по слепку с культи инвалида из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крила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основе акриловых смол или термопласта. Им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ет две шарнирно-соединенные части: одна с фиксацией на предплечье, вторая плотно облегает культю кисти. Функция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схвата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осуществляется за счет движений в л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чезапястном суставе. Протез позволяет выполнять пр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ведение и отведение кисти, имеет возможность фикс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ции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схвата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закрытом состоянии.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162 692,00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предплечья 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активный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Протез предплечья; активный; взрослый, механический (тяговый). Кисть с гибкой тягой каркасная с пружи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ным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схватом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пассивным узлом ротации; функция 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тации реализована в составе модуля кисти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приспосо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ления отсутствуют; оболочка косметическая : ПХВ/пластизоль без покрытия или силиконовая. Ко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метическая облицовка мягкая полиуретановая (лист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вой поролон), косметическая оболочка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перлоновая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Гильза индивидуальная одинарная или гильза индив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дуальная составная геометрическая копия сохрани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шейся руки; из литьевого слоистого пластика на основе связующих смол или из листового термопласта; кре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ление индивидуальное.</w:t>
            </w:r>
          </w:p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lastRenderedPageBreak/>
              <w:t>83 930,33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предплечья активный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активный детский. Протез предн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 для компенсации врожденных и ампутационных дефектов предплечья. Управление протезом (выполн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ние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схвата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 обеспечивается движениями в локтевом 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ставе, которое вызывает натяжение тяговых тросов. Протез состоит из двух приемных гильз, связанных шарниром на уровне локтевого сустава. </w:t>
            </w:r>
            <w:proofErr w:type="spellStart"/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Схват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акти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ный,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разжатие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пальцев протеза происходит за счет пр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жин.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Протез имеет пассивную ротацию кости в луч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запястном суставе. Внутренняя гильза изготавливается по слепку, путем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ламинирования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или из термопласт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ков, непосредственно по культе. Несущая гильза изг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тавливается по технологиям трехмерной печати или из углепластиков. Протез имеет возможность фиксации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схвата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закрытом состоянии.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201 941,67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модульного типа, активный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модульного типа, активный. Сист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ма управления: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механический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(тяговый): системная кисть фирмы ОТТО БОКК  с одной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перлоновой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тягой по наружной стороне, резьбовой цапфой и системным каркасом, пассивным узлом ротации; функция ротации реализована в составе модуля кисти, оболочка космет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ческая; гильза индивидуальная двухсоставная; из сло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стого пластика на основе акриловых смол (допускается применение внутренней гильзы из силикона индивид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ального изготовления), в комплект входит сменный 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говый крюк (хук) для взрослых, тип крепления: банд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жом. Назначение протеза: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постоянный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                                                                                    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180 977,00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предплечья активный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активный взрослый. Протез предн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 для компенсации врожденных и ампутационных дефектов предплечья. Управление протезом (выполн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ние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схвата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 обеспечивается движениями в локтевом 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ставе, которое вызывает натяжение тяговых тросов. Протез состоит из двух приемных гильз, связанных шарниром на уровне локтевого сустава. </w:t>
            </w:r>
            <w:proofErr w:type="spellStart"/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Схват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акти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ный,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разжатие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пальцев протеза происходит за счет пр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жин.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Протез имеет пассивную ротацию кости в луч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запястном суставе. Внутренняя гильза изготавливается по слепку из термопластиков, непосредственно по кул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ь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те. Несущая гильза изготавливается по технологиям трехмерной печати или из углепластиков. Протез имеет возможность фиксации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схвата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закрытом состоянии.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207 175,00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предплечья рабочий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Протез предплечья; рабочий, комбинированный; взро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лый. Управление сохранившейся рукой или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против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упором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Адаптер для присоединения рабочих насадок с цилиндрическим хвостовиком диаметром 10 мм. Ко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плект рабочих насадок (не более трех). Приемная гильза индивидуальная, изготовленная по слепку с культи 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валида. Материал приемной гильзы: литьевой слоистый пластик на основе акриловых смол или  листовой те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мопласт или кожа. Крепление при помощи кожаной манжетки с шинами на плечо или при помощи кожаных полуфабрикатов.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lastRenderedPageBreak/>
              <w:t>96 149,67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3C01D1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3F0E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функционально-косметический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предплечья функционально-косметический, управление сохранившейся рукой или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Приемная гильза индивидуальная, изготовленная  по слепку с культи инвалида. Материал приемной гильзы: литьевой слоистый пластик на основе акриловых смол или листовой термопласт. Косметическая облицовка мягкая полиуретановая (листовой поролон), косметич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ская  оболочка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перлоновая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 Кисть косметическая сил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коновая с нейлоновой армирующей сеткой, с адаптером М12х1,5,  функция ротации реализована в составе м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дуля кисти,   ротатор кистевой с адаптером для прис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единения кистей косметических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крепление -  индив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дуальное.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64 778,33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косметический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предплечья косметический.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Предназначен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для протезирования инвалидов с односторонней или дву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сторонней ампутацией предплечья, управление сохр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нившейся рукой или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 Кисть косметич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ская силиконовая с нейлоновой армирующей сеткой, улучшенной конструкции, с детализированными папи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лярными линиями, венами и суставами пальцев кисти, со специальным скользящим покрытием, снижающим трение косметической оболочки, резьбовой адаптер М12х1.5. Приспособления отсутствуют, функция рот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ции реализована в составе модуля кисти, ротатор кист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вой с адаптером для присоединения кистей косметич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ских.  Приемная гильза протеза из слоистого пластика на основе акриловых смол, двухсоставная (одна про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ная гильза из термопласта), изготовленная по индив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дуальному слепку с культи инвалида, крепление инд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видуальное. Назначение протеза: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постоянный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93 112,67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косметический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косметический: предназначен для протезирования инвалидов с односторонней или дву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сторонней ампутацией предплечья, управление сохр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нившейся рукой или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 Кисть косметич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ская силиконовая с нейлоновой армирующей сеткой, улучшенной конструкции, с акриловыми ногтевыми пластинами и  специальным скользящим покрытием, снижающим трение косметической оболочки, резьб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вой адаптер М12х1.5. Приспособления отсутствуют, функция ротации реализована в составе модуля кисти, ротатор кистевой с адаптером для присоединения к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стей косметических.  Приёмная гильза протеза из сло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стого пластика на основе акриловых смол, двухсоста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ная (одна пробная гильза из термопласта),  изготовле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ная по индивидуальному слепку с культи инвалида (д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пускается применение внутренней гильзы из силикона индивидуального изготовления), крепление индивид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альное. Назначение протеза: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постоянный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lastRenderedPageBreak/>
              <w:t>134 252,67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с внешним источником энергии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с внешним источником энергии 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готавливается по индивидуальному слепку, что обесп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чивает высокую степень точности моделирования пр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емных гильз, управление протезом осуществляется с помощью двух электродов, которые снимают сигналы с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мыщц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предплечья. Гильза предплечья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неспадающая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состоит из приёмной и несущей гильз. Материал гильз слоистый пластик. Возможность осуществлять сведение и разведение пальцев искусственной кисти с фиксацией пальцев в положении "щепоть", с пассивным вращен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ем кисти.  Источник энергии для всех систем управл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ния - подзаряжаемый ионно-литиевый аккумулятор, встраиваемый в протез при всех формах культи и гил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ь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зы. Форма, цвет и структура косметической оболочки до малейших деталей воспроизводит естественную кисть.                                               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512 897,67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3C01D1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3F0E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плеча активный (тяговый)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плеча активный (тяговый); взрослый. 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Кисть с гибкой тягой корпусная с пружинным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схватом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пасси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ной ротацией с бесступенчатой регулируемой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тугоп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движностью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;  узел локоть-предплечье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экзоскелетного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типа активный со ступенчатой фиксацией, с пассивной ротацией плеча; функция ротации реализована в составе модуля кисти; приспособления отсутствуют; оболочка косметическая силиконовая или оболочка косметич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ская ПВХ/пластизоль без покрытия.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Приемная гильза индивидуальная, изготовленная по слепку с культи 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валида. Материал приемной гильзы: литьевой слоистый пластик на основе акриловых смол или  листовой те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мопласт. Крепление: индивидуальное.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118 841,67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3C01D1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3F0E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плеча активный (тяговый)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плеча активный (тяговый); взрослый. Приемная гильза плеча индивидуальная (изготовленная по слепку с культи инвалида), материал приемной гильзы: лить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вой слоистый пластик на основе акриловых смол или листовой термопласт (одна пробная гильза). Системная, активная кисть с одной тягой, оболочка косметическая для системных кистей, ротация в кистевом шарнире, оболочка косметическая силиконовая или оболочка косметическая ПВХ. Локтевой узел для протезов, де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й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ствующий посредством тяг, снабжен расположенным внутри замком без защелки и вращающимся плечевым шарниром с регулируемым трением. Системная кисть может быть заменена тяговым крюком для взрослых. Крепление бандажом. Протез используется для пост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янного ношения.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382 403,00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3C01D1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3F0E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плеча рабочий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плеча рабочий, взрослый. Система управления сохранившейся рукой или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; узел локоть-предплечье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экзоскелетного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типа, пассивный с бесст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пенчатой фиксацией и пассивной ротацией плеча; рот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тор кистевой с адаптером для присоединения  рабочих насадок, с цилиндрическим хвостовиком диаметром 10 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мм;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дополнительное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РСУ отсутствует; комплект раб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чих насадок (не более трех); облицовка косметическая отсутствует. Приемная гильза индивидуальная, изг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товленная по слепку с культи инвалида. Материал пр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емной гильзы: литьевой слоистый пластик на основе акриловых смол или  листовой термопласт. Крепление: индивидуальное.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lastRenderedPageBreak/>
              <w:t>119 271,00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плеча функционально-косметический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плеча функционально-косметический, космет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ческий, взрослый.  Управление сохранившейся рукой или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Кисть косметическая силиконовая с нейлоновой армирующей сеткой. Узел локоть-предплечье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эндоскелетного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типа пассивный с бесст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пенчатой фиксацией и пассивной ротацией пл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ча/предплечья, ротатор кистевой с адаптером, для пр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соединения кистей косметических; функция ротации реализована в составе модуля кисти.  Приемная гильза индивидуальная, изготовленная по слепку с культи 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валида. Материал приемной гильзы: литьевой слоистый пластик на основе акриловых смол или листовой те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мопласт. Крепление: индивидуальное.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6F1E36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91 148,33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при вычленении плеча косметический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при вычленении плеча косметический; взро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лый; кисть – косметическая силиконовая с нейлоновой армирующей сеткой; локоть-предплечье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эндоскелетн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типа пассивный с бесступенчатой фиксацией с па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сивной ротацией плеча/предплечья; приемная гильза при вычленении плеча и косметическая гильза плеча индивидуальные составные, из литьевого слоистого пластика на основе связующих смол; облицовка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пен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полиуретаном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 тип крепления: индивидуальное.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D91257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108 641,00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3C01D1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при вычленении в плечевом суставе модульный косметический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при вычленении в плечевом суставе модульный косметический, взрослый, система управления сохр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нившейся рукой или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шаровидный пл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чевой шарнир, системная кисть для косметических пр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тезов, локоть-предплечье модульного типа с пассивным локтевым замком с бесступенчатой фиксацией и па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сивной ротацией плеча/предплечья, ротатор кистевой с адаптером для присоединения кистей косметических, оболочка косметическая удлиненная, гильза наплечника индивидуальная из литьевого слоистого пластика на основе акриловых смол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(одна пробная гильза), космет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ческая облицовка из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пенополиуретана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Тип крепления –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Назначение: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постоянный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D91257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189 759,67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3C01D1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3F0E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модульного типа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модульного типа, активный. Сист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ма управления: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механический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(тяговый): система кисть фирмы ОТТО БОКК с одной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перлоновой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тягой по наружной стороне, резьбовой цапфой и системным ка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касом, пассивным узлом ротации; функция ротации р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ализована в составе модуля кисти, оболочка косметич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ская; гильза индивидуальная двухсоставная; из слоист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 пластика на основе акриловых смол, внутренняя гильза из силикона HTV индивидуального изготовл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ния, в комплект входит сменный тяговый крюк (хук) для взрослых, тип крепления: бандажом. Назначение протеза: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постоянный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D91257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197 508,67</w:t>
            </w:r>
          </w:p>
        </w:tc>
      </w:tr>
      <w:tr w:rsidR="00E667C8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3F0EA0" w:rsidP="006F1E36">
            <w:pPr>
              <w:pStyle w:val="Standard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667C8" w:rsidRDefault="00E667C8" w:rsidP="006F1E36">
            <w:pPr>
              <w:pStyle w:val="Standard"/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рабочий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667C8" w:rsidRDefault="00E667C8" w:rsidP="006F1E36">
            <w:pPr>
              <w:suppressAutoHyphens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предплечья рабочий комбинированный, взро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лый. Управление сохранившейся рукой или </w:t>
            </w:r>
            <w:proofErr w:type="spell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против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упором</w:t>
            </w:r>
            <w:proofErr w:type="spell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  Адаптер для присоединения рабочих насадок, с цилиндрическим хвостиком диаметром 10 мм, ко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плект рабочих насадок. Приемная гильза индивидуал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ь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ная, изготовленная по слепку с культи инвалида. Мат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риал приемной гильзы литьевой слоистый пластик ус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ленный карбоном, внутренняя гильза из силикона НТ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V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индивидуального изготовления. Крепление индивид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альное. Назначение протеза: </w:t>
            </w:r>
            <w:proofErr w:type="gramStart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постоянный</w:t>
            </w:r>
            <w:proofErr w:type="gramEnd"/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D91257" w:rsidRDefault="00D91257" w:rsidP="00D9125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105 851,0</w:t>
            </w:r>
            <w:bookmarkStart w:id="0" w:name="_GoBack"/>
            <w:bookmarkEnd w:id="0"/>
            <w:r w:rsidRPr="00D91257">
              <w:rPr>
                <w:rFonts w:ascii="Times New Roman" w:hAnsi="Times New Roman" w:cs="Times New Roman"/>
              </w:rPr>
              <w:t>0</w:t>
            </w:r>
          </w:p>
        </w:tc>
      </w:tr>
      <w:tr w:rsidR="003F0EA0" w:rsidRPr="00D91257" w:rsidTr="001E16E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0" w:rsidRDefault="003F0EA0" w:rsidP="006F1E36">
            <w:pPr>
              <w:pStyle w:val="Standard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0" w:rsidRPr="00E667C8" w:rsidRDefault="003F0EA0" w:rsidP="006F1E36">
            <w:pPr>
              <w:pStyle w:val="Standard"/>
              <w:rPr>
                <w:rFonts w:ascii="Times New Roman" w:eastAsia="Arial" w:hAnsi="Times New Roman" w:cs="Times New Roman"/>
                <w:lang w:eastAsia="ar-SA"/>
              </w:rPr>
            </w:pPr>
            <w:r w:rsidRPr="00E667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кисти косметический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0" w:rsidRPr="00E667C8" w:rsidRDefault="003F0EA0" w:rsidP="006F1E36">
            <w:pPr>
              <w:suppressAutoHyphens w:val="0"/>
              <w:rPr>
                <w:rFonts w:ascii="Times New Roman" w:eastAsia="Arial" w:hAnsi="Times New Roman" w:cs="Times New Roman"/>
                <w:lang w:eastAsia="ar-SA"/>
              </w:rPr>
            </w:pPr>
            <w:r w:rsidRPr="003C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 кисти косметический, силиконовый, применяе</w:t>
            </w:r>
            <w:r w:rsidRPr="003C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</w:t>
            </w:r>
            <w:r w:rsidRPr="003C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ся при частичной ампутации (или недоразвитии) кисти руки, изготовление по индивидуальному слепку с кул</w:t>
            </w:r>
            <w:r w:rsidRPr="003C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ь</w:t>
            </w:r>
            <w:r w:rsidRPr="003C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ти инвалида, силиконовая оболочка с ярко выраженным косметическим эффектом, детализированными папи</w:t>
            </w:r>
            <w:r w:rsidRPr="003C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</w:t>
            </w:r>
            <w:r w:rsidRPr="003C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лярными линиями, венами и суставами. Застежка мо</w:t>
            </w:r>
            <w:r w:rsidRPr="003C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</w:t>
            </w:r>
            <w:r w:rsidRPr="003C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ния с усиленной тканью планкой для защиты культи инвалида от повреждения.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0" w:rsidRPr="00D91257" w:rsidRDefault="00D91257" w:rsidP="00D9125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91257">
              <w:rPr>
                <w:rFonts w:ascii="Times New Roman" w:hAnsi="Times New Roman" w:cs="Times New Roman"/>
              </w:rPr>
              <w:t>175 900,00</w:t>
            </w:r>
          </w:p>
        </w:tc>
      </w:tr>
      <w:tr w:rsidR="001E16ED" w:rsidTr="001E16ED"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ED" w:rsidRDefault="001E16ED" w:rsidP="001E16ED">
            <w:pPr>
              <w:suppressAutoHyphens w:val="0"/>
              <w:jc w:val="right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1E16ED">
              <w:rPr>
                <w:rFonts w:ascii="Times New Roman" w:eastAsia="Arial" w:hAnsi="Times New Roman" w:cs="Times New Roman"/>
                <w:b/>
                <w:lang w:eastAsia="ar-SA"/>
              </w:rPr>
              <w:t>Итого начальная сумма цен единиц работ:</w:t>
            </w:r>
          </w:p>
          <w:p w:rsidR="001E16ED" w:rsidRPr="001E16ED" w:rsidRDefault="001E16ED" w:rsidP="001E16ED">
            <w:pPr>
              <w:suppressAutoHyphens w:val="0"/>
              <w:jc w:val="righ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  <w:p w:rsidR="001E16ED" w:rsidRPr="003C01D1" w:rsidRDefault="001E16ED" w:rsidP="001E16ED">
            <w:pPr>
              <w:suppressAutoHyphens w:val="0"/>
              <w:jc w:val="right"/>
              <w:rPr>
                <w:rFonts w:ascii="Times New Roman" w:eastAsia="Arial" w:hAnsi="Times New Roman" w:cs="Times New Roman"/>
                <w:lang w:eastAsia="ar-SA"/>
              </w:rPr>
            </w:pPr>
            <w:r w:rsidRPr="001E16ED">
              <w:rPr>
                <w:rFonts w:ascii="Times New Roman" w:eastAsia="Arial" w:hAnsi="Times New Roman" w:cs="Times New Roman"/>
                <w:b/>
                <w:lang w:eastAsia="ar-SA"/>
              </w:rPr>
              <w:t>Максимальное значение цены контракта: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ED" w:rsidRDefault="001E16ED" w:rsidP="006F1E36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3 394 556,68</w:t>
            </w:r>
          </w:p>
          <w:p w:rsidR="001E16ED" w:rsidRDefault="001E16ED" w:rsidP="006F1E36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  <w:p w:rsidR="001E16ED" w:rsidRPr="001E16ED" w:rsidRDefault="001E16ED" w:rsidP="006F1E36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2 933 545,00</w:t>
            </w:r>
          </w:p>
        </w:tc>
      </w:tr>
    </w:tbl>
    <w:p w:rsidR="00E667C8" w:rsidRPr="00D86661" w:rsidRDefault="00E667C8" w:rsidP="00F11E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67C8" w:rsidRDefault="00E667C8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</w:p>
    <w:p w:rsidR="00034FC7" w:rsidRPr="00F455FE" w:rsidRDefault="00034FC7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  <w:r w:rsidRPr="00F455FE">
        <w:rPr>
          <w:rFonts w:ascii="Times New Roman" w:hAnsi="Times New Roman" w:cs="Times New Roman"/>
          <w:b/>
          <w:kern w:val="2"/>
        </w:rPr>
        <w:t>Требования к качеству работ</w:t>
      </w:r>
      <w:r w:rsidR="001D5034">
        <w:rPr>
          <w:rFonts w:ascii="Times New Roman" w:hAnsi="Times New Roman" w:cs="Times New Roman"/>
          <w:b/>
          <w:kern w:val="2"/>
        </w:rPr>
        <w:t xml:space="preserve">, </w:t>
      </w:r>
      <w:r w:rsidR="001D5034" w:rsidRPr="001D5034">
        <w:rPr>
          <w:rFonts w:ascii="Times New Roman" w:hAnsi="Times New Roman" w:cs="Times New Roman"/>
          <w:b/>
          <w:kern w:val="2"/>
        </w:rPr>
        <w:t>техническим и функциональным характеристикам работ</w:t>
      </w:r>
      <w:r w:rsidRPr="00F455FE">
        <w:rPr>
          <w:rFonts w:ascii="Times New Roman" w:hAnsi="Times New Roman" w:cs="Times New Roman"/>
          <w:b/>
          <w:kern w:val="2"/>
        </w:rPr>
        <w:t>:</w:t>
      </w:r>
    </w:p>
    <w:p w:rsidR="00E667C8" w:rsidRPr="00E667C8" w:rsidRDefault="00E667C8" w:rsidP="00E667C8">
      <w:pPr>
        <w:autoSpaceDE w:val="0"/>
        <w:ind w:right="-285"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Работы по изготовлению инвалидам и отдельным категориям граждан из числа ветеранов протезов верхних конечностей (далее протезов) предусматривает индивидуальное изготовление, обучение пользованию и их выдачу.</w:t>
      </w:r>
    </w:p>
    <w:p w:rsidR="00E667C8" w:rsidRPr="00E667C8" w:rsidRDefault="00E667C8" w:rsidP="00E667C8">
      <w:pPr>
        <w:autoSpaceDE w:val="0"/>
        <w:ind w:right="-285"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 xml:space="preserve">Протезы должны быть классифицированы в соответствии с требованиями Национального стандарта Российской Федерации ГОСТ </w:t>
      </w:r>
      <w:proofErr w:type="gramStart"/>
      <w:r w:rsidRPr="00E667C8">
        <w:rPr>
          <w:rFonts w:ascii="Times New Roman" w:hAnsi="Times New Roman" w:cs="Times New Roman"/>
          <w:kern w:val="2"/>
        </w:rPr>
        <w:t>Р</w:t>
      </w:r>
      <w:proofErr w:type="gramEnd"/>
      <w:r w:rsidRPr="00E667C8">
        <w:rPr>
          <w:rFonts w:ascii="Times New Roman" w:hAnsi="Times New Roman" w:cs="Times New Roman"/>
          <w:kern w:val="2"/>
        </w:rPr>
        <w:t xml:space="preserve"> ИСО 22523-2007 «Протезы конечностей и </w:t>
      </w:r>
      <w:proofErr w:type="spellStart"/>
      <w:r w:rsidRPr="00E667C8">
        <w:rPr>
          <w:rFonts w:ascii="Times New Roman" w:hAnsi="Times New Roman" w:cs="Times New Roman"/>
          <w:kern w:val="2"/>
        </w:rPr>
        <w:t>ортезы</w:t>
      </w:r>
      <w:proofErr w:type="spellEnd"/>
      <w:r w:rsidRPr="00E667C8">
        <w:rPr>
          <w:rFonts w:ascii="Times New Roman" w:hAnsi="Times New Roman" w:cs="Times New Roman"/>
          <w:kern w:val="2"/>
        </w:rPr>
        <w:t xml:space="preserve"> наружные. Требования и методы испытаний», ГОСТ </w:t>
      </w:r>
      <w:proofErr w:type="gramStart"/>
      <w:r w:rsidRPr="00E667C8">
        <w:rPr>
          <w:rFonts w:ascii="Times New Roman" w:hAnsi="Times New Roman" w:cs="Times New Roman"/>
          <w:kern w:val="2"/>
        </w:rPr>
        <w:t>Р</w:t>
      </w:r>
      <w:proofErr w:type="gramEnd"/>
      <w:r w:rsidRPr="00E667C8">
        <w:rPr>
          <w:rFonts w:ascii="Times New Roman" w:hAnsi="Times New Roman" w:cs="Times New Roman"/>
          <w:kern w:val="2"/>
        </w:rPr>
        <w:t xml:space="preserve"> 56138-2014 «Протезы верхних конечностей. Технические требования», ГОСТ ISO 10993-1-2011 «Изделия медицинские. Оценка биологического действия медицинских изделий. Часть 1. Оценка и исследование»,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667C8">
        <w:rPr>
          <w:rFonts w:ascii="Times New Roman" w:hAnsi="Times New Roman" w:cs="Times New Roman"/>
          <w:kern w:val="2"/>
        </w:rPr>
        <w:t>цитотоксичность</w:t>
      </w:r>
      <w:proofErr w:type="spellEnd"/>
      <w:r w:rsidRPr="00E667C8">
        <w:rPr>
          <w:rFonts w:ascii="Times New Roman" w:hAnsi="Times New Roman" w:cs="Times New Roman"/>
          <w:kern w:val="2"/>
        </w:rPr>
        <w:t xml:space="preserve">: методы </w:t>
      </w:r>
      <w:proofErr w:type="spellStart"/>
      <w:r w:rsidRPr="00E667C8">
        <w:rPr>
          <w:rFonts w:ascii="Times New Roman" w:hAnsi="Times New Roman" w:cs="Times New Roman"/>
          <w:kern w:val="2"/>
        </w:rPr>
        <w:t>in</w:t>
      </w:r>
      <w:proofErr w:type="spellEnd"/>
      <w:r w:rsidRPr="00E667C8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E667C8">
        <w:rPr>
          <w:rFonts w:ascii="Times New Roman" w:hAnsi="Times New Roman" w:cs="Times New Roman"/>
          <w:kern w:val="2"/>
        </w:rPr>
        <w:t>vitro</w:t>
      </w:r>
      <w:proofErr w:type="spellEnd"/>
      <w:r w:rsidRPr="00E667C8">
        <w:rPr>
          <w:rFonts w:ascii="Times New Roman" w:hAnsi="Times New Roman" w:cs="Times New Roman"/>
          <w:kern w:val="2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E667C8" w:rsidRPr="00E667C8" w:rsidRDefault="00E667C8" w:rsidP="00E667C8">
      <w:pPr>
        <w:autoSpaceDE w:val="0"/>
        <w:ind w:right="-285"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Протезное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</w:t>
      </w:r>
    </w:p>
    <w:p w:rsidR="00E667C8" w:rsidRPr="00E667C8" w:rsidRDefault="00E667C8" w:rsidP="00E667C8">
      <w:pPr>
        <w:autoSpaceDE w:val="0"/>
        <w:ind w:right="-285"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 xml:space="preserve">Параметры </w:t>
      </w:r>
      <w:proofErr w:type="spellStart"/>
      <w:r w:rsidRPr="00E667C8">
        <w:rPr>
          <w:rFonts w:ascii="Times New Roman" w:hAnsi="Times New Roman" w:cs="Times New Roman"/>
          <w:kern w:val="2"/>
        </w:rPr>
        <w:t>нагружения</w:t>
      </w:r>
      <w:proofErr w:type="spellEnd"/>
      <w:r w:rsidRPr="00E667C8">
        <w:rPr>
          <w:rFonts w:ascii="Times New Roman" w:hAnsi="Times New Roman" w:cs="Times New Roman"/>
          <w:kern w:val="2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устройства, назначенным изготовителем. Коэффициенты безопасности определяются отношением уровней нагрузки при соответствующих условиях награждения,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Pr="00E667C8">
        <w:rPr>
          <w:rFonts w:ascii="Times New Roman" w:hAnsi="Times New Roman" w:cs="Times New Roman"/>
          <w:kern w:val="2"/>
        </w:rPr>
        <w:br/>
        <w:t xml:space="preserve">Протезы должны соответствовать Национальным стандартом Российской Федерации ГОСТ </w:t>
      </w:r>
      <w:proofErr w:type="gramStart"/>
      <w:r w:rsidRPr="00E667C8">
        <w:rPr>
          <w:rFonts w:ascii="Times New Roman" w:hAnsi="Times New Roman" w:cs="Times New Roman"/>
          <w:kern w:val="2"/>
        </w:rPr>
        <w:t>Р</w:t>
      </w:r>
      <w:proofErr w:type="gramEnd"/>
      <w:r w:rsidRPr="00E667C8">
        <w:rPr>
          <w:rFonts w:ascii="Times New Roman" w:hAnsi="Times New Roman" w:cs="Times New Roman"/>
          <w:kern w:val="2"/>
        </w:rPr>
        <w:t xml:space="preserve"> 51632-2014 «Технические средства реабилитации людей с ограниченными возможностями. Общие технические требования и методы испытаний», ГОСТ </w:t>
      </w:r>
      <w:proofErr w:type="gramStart"/>
      <w:r w:rsidRPr="00E667C8">
        <w:rPr>
          <w:rFonts w:ascii="Times New Roman" w:hAnsi="Times New Roman" w:cs="Times New Roman"/>
          <w:kern w:val="2"/>
        </w:rPr>
        <w:t>Р</w:t>
      </w:r>
      <w:proofErr w:type="gramEnd"/>
      <w:r w:rsidRPr="00E667C8">
        <w:rPr>
          <w:rFonts w:ascii="Times New Roman" w:hAnsi="Times New Roman" w:cs="Times New Roman"/>
          <w:kern w:val="2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E667C8" w:rsidRPr="00E667C8" w:rsidRDefault="00E667C8" w:rsidP="00E667C8">
      <w:pPr>
        <w:autoSpaceDE w:val="0"/>
        <w:ind w:right="-285"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 xml:space="preserve">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</w:t>
      </w:r>
      <w:r w:rsidRPr="00E667C8">
        <w:rPr>
          <w:rFonts w:ascii="Times New Roman" w:hAnsi="Times New Roman" w:cs="Times New Roman"/>
          <w:kern w:val="2"/>
        </w:rPr>
        <w:lastRenderedPageBreak/>
        <w:t xml:space="preserve">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E667C8">
        <w:rPr>
          <w:rFonts w:ascii="Times New Roman" w:hAnsi="Times New Roman" w:cs="Times New Roman"/>
          <w:kern w:val="2"/>
        </w:rPr>
        <w:t>медико-социальные</w:t>
      </w:r>
      <w:proofErr w:type="gramEnd"/>
      <w:r w:rsidRPr="00E667C8">
        <w:rPr>
          <w:rFonts w:ascii="Times New Roman" w:hAnsi="Times New Roman" w:cs="Times New Roman"/>
          <w:kern w:val="2"/>
        </w:rPr>
        <w:t xml:space="preserve"> аспекты.</w:t>
      </w:r>
    </w:p>
    <w:p w:rsidR="00E667C8" w:rsidRPr="00E667C8" w:rsidRDefault="00E667C8" w:rsidP="00E667C8">
      <w:pPr>
        <w:autoSpaceDE w:val="0"/>
        <w:ind w:right="-285"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E667C8" w:rsidRPr="00E667C8" w:rsidRDefault="00E667C8" w:rsidP="00E667C8">
      <w:pPr>
        <w:autoSpaceDE w:val="0"/>
        <w:ind w:right="-285"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Узлы протезов должны быть стойкими к воздействию физиологических жидкостей (пота, мочи).</w:t>
      </w:r>
    </w:p>
    <w:p w:rsidR="00E667C8" w:rsidRDefault="00E667C8" w:rsidP="00E667C8">
      <w:pPr>
        <w:autoSpaceDE w:val="0"/>
        <w:ind w:right="-285" w:firstLine="709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6F0467" w:rsidRPr="00E667C8" w:rsidRDefault="006F0467" w:rsidP="00E667C8">
      <w:pPr>
        <w:autoSpaceDE w:val="0"/>
        <w:ind w:right="-285" w:firstLine="709"/>
        <w:jc w:val="both"/>
        <w:rPr>
          <w:rFonts w:ascii="Times New Roman" w:hAnsi="Times New Roman" w:cs="Times New Roman"/>
          <w:kern w:val="2"/>
        </w:rPr>
      </w:pPr>
    </w:p>
    <w:p w:rsidR="006F0467" w:rsidRPr="00345635" w:rsidRDefault="006F0467" w:rsidP="006F0467">
      <w:pPr>
        <w:ind w:right="-427"/>
        <w:jc w:val="center"/>
        <w:rPr>
          <w:rFonts w:ascii="Times New Roman" w:hAnsi="Times New Roman" w:cs="Times New Roman"/>
          <w:b/>
          <w:kern w:val="2"/>
        </w:rPr>
      </w:pPr>
      <w:r w:rsidRPr="00345635">
        <w:rPr>
          <w:rFonts w:ascii="Times New Roman" w:hAnsi="Times New Roman" w:cs="Times New Roman"/>
          <w:b/>
          <w:kern w:val="2"/>
        </w:rPr>
        <w:t xml:space="preserve">Требования к </w:t>
      </w:r>
      <w:r>
        <w:rPr>
          <w:rFonts w:ascii="Times New Roman" w:hAnsi="Times New Roman" w:cs="Times New Roman"/>
          <w:b/>
          <w:kern w:val="2"/>
        </w:rPr>
        <w:t>Изделиям</w:t>
      </w:r>
      <w:r w:rsidRPr="00345635">
        <w:rPr>
          <w:rFonts w:ascii="Times New Roman" w:hAnsi="Times New Roman" w:cs="Times New Roman"/>
          <w:b/>
          <w:kern w:val="2"/>
        </w:rPr>
        <w:t>, являющ</w:t>
      </w:r>
      <w:r>
        <w:rPr>
          <w:rFonts w:ascii="Times New Roman" w:hAnsi="Times New Roman" w:cs="Times New Roman"/>
          <w:b/>
          <w:kern w:val="2"/>
        </w:rPr>
        <w:t>имся</w:t>
      </w:r>
      <w:r w:rsidRPr="00345635">
        <w:rPr>
          <w:rFonts w:ascii="Times New Roman" w:hAnsi="Times New Roman" w:cs="Times New Roman"/>
          <w:b/>
          <w:kern w:val="2"/>
        </w:rPr>
        <w:t xml:space="preserve"> результатом </w:t>
      </w:r>
      <w:r>
        <w:rPr>
          <w:rFonts w:ascii="Times New Roman" w:hAnsi="Times New Roman" w:cs="Times New Roman"/>
          <w:b/>
          <w:kern w:val="2"/>
        </w:rPr>
        <w:t xml:space="preserve">выполнения </w:t>
      </w:r>
      <w:r w:rsidRPr="00345635">
        <w:rPr>
          <w:rFonts w:ascii="Times New Roman" w:hAnsi="Times New Roman" w:cs="Times New Roman"/>
          <w:b/>
          <w:kern w:val="2"/>
        </w:rPr>
        <w:t>работ:</w:t>
      </w:r>
    </w:p>
    <w:p w:rsidR="006F0467" w:rsidRDefault="006F0467" w:rsidP="006F0467">
      <w:pPr>
        <w:autoSpaceDE w:val="0"/>
        <w:ind w:right="-1" w:firstLine="709"/>
        <w:jc w:val="both"/>
        <w:rPr>
          <w:rFonts w:ascii="Times New Roman" w:hAnsi="Times New Roman" w:cs="Times New Roman"/>
          <w:kern w:val="2"/>
        </w:rPr>
      </w:pPr>
      <w:r w:rsidRPr="00794263">
        <w:rPr>
          <w:rFonts w:ascii="Times New Roman" w:eastAsia="Times New Roman" w:hAnsi="Times New Roman"/>
          <w:lang w:eastAsia="ar-SA"/>
        </w:rPr>
        <w:t xml:space="preserve">Работы по изготовлению протезов </w:t>
      </w:r>
      <w:r>
        <w:rPr>
          <w:rFonts w:ascii="Times New Roman" w:eastAsia="Times New Roman" w:hAnsi="Times New Roman"/>
          <w:lang w:eastAsia="ar-SA"/>
        </w:rPr>
        <w:t>верхних</w:t>
      </w:r>
      <w:r w:rsidRPr="00794263">
        <w:rPr>
          <w:rFonts w:ascii="Times New Roman" w:eastAsia="Times New Roman" w:hAnsi="Times New Roman"/>
          <w:lang w:eastAsia="ar-SA"/>
        </w:rPr>
        <w:t xml:space="preserve">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</w:t>
      </w:r>
      <w:r>
        <w:rPr>
          <w:rFonts w:ascii="Times New Roman" w:eastAsia="Times New Roman" w:hAnsi="Times New Roman"/>
          <w:lang w:eastAsia="ar-SA"/>
        </w:rPr>
        <w:t xml:space="preserve">. </w:t>
      </w:r>
      <w:r w:rsidRPr="000A2ED9">
        <w:rPr>
          <w:rFonts w:ascii="Times New Roman" w:hAnsi="Times New Roman" w:cs="Times New Roman"/>
          <w:kern w:val="2"/>
        </w:rPr>
        <w:t>Работы должны быть выполнены с надлежащим качеством и в установленные сроки.</w:t>
      </w:r>
    </w:p>
    <w:p w:rsidR="006F0467" w:rsidRDefault="006F0467" w:rsidP="006F0467">
      <w:pPr>
        <w:autoSpaceDE w:val="0"/>
        <w:ind w:right="-1" w:firstLine="709"/>
        <w:jc w:val="both"/>
        <w:rPr>
          <w:rFonts w:ascii="Times New Roman" w:hAnsi="Times New Roman" w:cs="Times New Roman"/>
          <w:kern w:val="2"/>
        </w:rPr>
      </w:pPr>
    </w:p>
    <w:p w:rsidR="006F0467" w:rsidRPr="00F455FE" w:rsidRDefault="006F0467" w:rsidP="006F0467">
      <w:pPr>
        <w:ind w:right="-1"/>
        <w:contextualSpacing/>
        <w:jc w:val="both"/>
        <w:rPr>
          <w:rFonts w:ascii="Times New Roman" w:hAnsi="Times New Roman" w:cs="Times New Roman"/>
          <w:b/>
          <w:kern w:val="2"/>
        </w:rPr>
      </w:pPr>
      <w:r w:rsidRPr="00F455FE">
        <w:rPr>
          <w:rFonts w:ascii="Times New Roman" w:hAnsi="Times New Roman" w:cs="Times New Roman"/>
          <w:b/>
          <w:kern w:val="2"/>
        </w:rPr>
        <w:t>Требования к гарантийному сроку и (или) объему предоставления гарантий качества работ:</w:t>
      </w:r>
    </w:p>
    <w:p w:rsidR="006F0467" w:rsidRPr="00ED745D" w:rsidRDefault="006F0467" w:rsidP="006F0467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ED745D">
        <w:rPr>
          <w:rFonts w:ascii="Times New Roman" w:hAnsi="Times New Roman" w:cs="Times New Roman"/>
          <w:kern w:val="2"/>
        </w:rPr>
        <w:t>Гарантийный срок устанавливается в соответствии с техническими условиями производителя и составляет для протезов верхних конечностей 7 месяцев после подписания Акта сдачи–приемки работ Получателем. В период гарантийного срока Исполнитель производит ремонт или замену за счет собственных средств.</w:t>
      </w:r>
    </w:p>
    <w:p w:rsidR="006F0467" w:rsidRDefault="006F0467" w:rsidP="006F0467">
      <w:pPr>
        <w:autoSpaceDE w:val="0"/>
        <w:ind w:right="-1" w:firstLine="709"/>
        <w:jc w:val="both"/>
        <w:rPr>
          <w:rFonts w:ascii="Times New Roman" w:hAnsi="Times New Roman" w:cs="Times New Roman"/>
          <w:kern w:val="2"/>
        </w:rPr>
      </w:pPr>
    </w:p>
    <w:p w:rsidR="006F0467" w:rsidRPr="000A2ED9" w:rsidRDefault="006F0467" w:rsidP="006F0467">
      <w:pPr>
        <w:autoSpaceDE w:val="0"/>
        <w:ind w:right="-1" w:firstLine="709"/>
        <w:jc w:val="both"/>
        <w:rPr>
          <w:rFonts w:ascii="Times New Roman" w:hAnsi="Times New Roman" w:cs="Times New Roman"/>
          <w:kern w:val="2"/>
        </w:rPr>
      </w:pPr>
    </w:p>
    <w:p w:rsidR="000A2ED9" w:rsidRPr="00345635" w:rsidRDefault="000A2ED9" w:rsidP="00D87ED1">
      <w:pPr>
        <w:ind w:right="-427"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6F0467" w:rsidRPr="00FA7DC8" w:rsidRDefault="006F0467" w:rsidP="006F0467">
      <w:pPr>
        <w:spacing w:line="100" w:lineRule="atLeast"/>
        <w:ind w:right="-2"/>
        <w:rPr>
          <w:rFonts w:ascii="Times New Roman" w:eastAsia="Andale Sans UI" w:hAnsi="Times New Roman"/>
          <w:b/>
          <w:bCs/>
          <w:lang w:eastAsia="ja-JP" w:bidi="fa-IR"/>
        </w:rPr>
      </w:pPr>
      <w:proofErr w:type="spellStart"/>
      <w:r w:rsidRPr="00FA7DC8">
        <w:rPr>
          <w:rFonts w:ascii="Times New Roman" w:eastAsia="Andale Sans UI" w:hAnsi="Times New Roman"/>
          <w:b/>
          <w:bCs/>
          <w:lang w:val="de-DE" w:eastAsia="ja-JP" w:bidi="fa-IR"/>
        </w:rPr>
        <w:t>Требования</w:t>
      </w:r>
      <w:proofErr w:type="spellEnd"/>
      <w:r w:rsidRPr="00FA7DC8">
        <w:rPr>
          <w:rFonts w:ascii="Times New Roman" w:eastAsia="Andale Sans UI" w:hAnsi="Times New Roman"/>
          <w:b/>
          <w:bCs/>
          <w:lang w:val="de-DE" w:eastAsia="ja-JP" w:bidi="fa-IR"/>
        </w:rPr>
        <w:t xml:space="preserve"> к </w:t>
      </w:r>
      <w:proofErr w:type="spellStart"/>
      <w:r w:rsidRPr="00FA7DC8">
        <w:rPr>
          <w:rFonts w:ascii="Times New Roman" w:eastAsia="Andale Sans UI" w:hAnsi="Times New Roman"/>
          <w:b/>
          <w:bCs/>
          <w:lang w:val="de-DE" w:eastAsia="ja-JP" w:bidi="fa-IR"/>
        </w:rPr>
        <w:t>предоставлению</w:t>
      </w:r>
      <w:proofErr w:type="spellEnd"/>
      <w:r w:rsidRPr="00FA7DC8">
        <w:rPr>
          <w:rFonts w:ascii="Times New Roman" w:eastAsia="Andale Sans UI" w:hAnsi="Times New Roman"/>
          <w:b/>
          <w:bCs/>
          <w:lang w:val="de-DE" w:eastAsia="ja-JP" w:bidi="fa-IR"/>
        </w:rPr>
        <w:t xml:space="preserve"> </w:t>
      </w:r>
      <w:proofErr w:type="spellStart"/>
      <w:r w:rsidRPr="00FA7DC8">
        <w:rPr>
          <w:rFonts w:ascii="Times New Roman" w:eastAsia="Andale Sans UI" w:hAnsi="Times New Roman"/>
          <w:b/>
          <w:bCs/>
          <w:lang w:val="de-DE" w:eastAsia="ja-JP" w:bidi="fa-IR"/>
        </w:rPr>
        <w:t>гарантийных</w:t>
      </w:r>
      <w:proofErr w:type="spellEnd"/>
      <w:r w:rsidRPr="00FA7DC8">
        <w:rPr>
          <w:rFonts w:ascii="Times New Roman" w:eastAsia="Andale Sans UI" w:hAnsi="Times New Roman"/>
          <w:b/>
          <w:bCs/>
          <w:lang w:val="de-DE" w:eastAsia="ja-JP" w:bidi="fa-IR"/>
        </w:rPr>
        <w:t xml:space="preserve"> </w:t>
      </w:r>
      <w:proofErr w:type="spellStart"/>
      <w:r w:rsidRPr="00FA7DC8">
        <w:rPr>
          <w:rFonts w:ascii="Times New Roman" w:eastAsia="Andale Sans UI" w:hAnsi="Times New Roman"/>
          <w:b/>
          <w:bCs/>
          <w:lang w:val="de-DE" w:eastAsia="ja-JP" w:bidi="fa-IR"/>
        </w:rPr>
        <w:t>обязательств</w:t>
      </w:r>
      <w:proofErr w:type="spellEnd"/>
      <w:r w:rsidRPr="00FA7DC8">
        <w:rPr>
          <w:rFonts w:ascii="Times New Roman" w:eastAsia="Andale Sans UI" w:hAnsi="Times New Roman"/>
          <w:b/>
          <w:bCs/>
          <w:lang w:eastAsia="ja-JP" w:bidi="fa-IR"/>
        </w:rPr>
        <w:t>:</w:t>
      </w:r>
    </w:p>
    <w:p w:rsidR="006F0467" w:rsidRPr="0061794E" w:rsidRDefault="006F0467" w:rsidP="006F0467">
      <w:pPr>
        <w:spacing w:line="100" w:lineRule="atLeast"/>
        <w:ind w:right="-1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 xml:space="preserve">Исполнитель до подписания Итогового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(Одного) % от </w:t>
      </w:r>
      <w:r w:rsidR="001939AE">
        <w:rPr>
          <w:rFonts w:ascii="Times New Roman" w:hAnsi="Times New Roman"/>
        </w:rPr>
        <w:t>максимального значения цены</w:t>
      </w:r>
      <w:r w:rsidRPr="0061794E">
        <w:rPr>
          <w:rFonts w:ascii="Times New Roman" w:hAnsi="Times New Roman"/>
        </w:rPr>
        <w:t xml:space="preserve"> Контракта.</w:t>
      </w:r>
    </w:p>
    <w:p w:rsidR="00F42D58" w:rsidRPr="00ED745D" w:rsidRDefault="00F42D58" w:rsidP="007975E5">
      <w:pPr>
        <w:pStyle w:val="Standard"/>
        <w:ind w:right="-427" w:firstLine="720"/>
        <w:jc w:val="both"/>
        <w:rPr>
          <w:rFonts w:ascii="Times New Roman" w:hAnsi="Times New Roman" w:cs="Times New Roman"/>
          <w:kern w:val="2"/>
        </w:rPr>
      </w:pPr>
    </w:p>
    <w:p w:rsidR="00D94E48" w:rsidRPr="00D94E48" w:rsidRDefault="00D94E48" w:rsidP="00D94E48">
      <w:pPr>
        <w:spacing w:line="100" w:lineRule="atLeast"/>
        <w:jc w:val="both"/>
        <w:rPr>
          <w:rFonts w:ascii="Times New Roman" w:eastAsia="Times New Roman" w:hAnsi="Times New Roman" w:cs="Times New Roman"/>
          <w:b/>
          <w:kern w:val="0"/>
        </w:rPr>
      </w:pPr>
      <w:r w:rsidRPr="00D94E48">
        <w:rPr>
          <w:rFonts w:ascii="Times New Roman" w:eastAsia="Times New Roman" w:hAnsi="Times New Roman" w:cs="Times New Roman"/>
          <w:b/>
          <w:kern w:val="0"/>
        </w:rPr>
        <w:t>Требования к месту, условиям и срокам (периодам) выполнения работ:</w:t>
      </w:r>
    </w:p>
    <w:p w:rsidR="00D94E48" w:rsidRPr="00D94E48" w:rsidRDefault="00D94E48" w:rsidP="00D94E48">
      <w:pPr>
        <w:spacing w:line="100" w:lineRule="atLeast"/>
        <w:ind w:right="-1"/>
        <w:jc w:val="both"/>
        <w:rPr>
          <w:rFonts w:ascii="Times New Roman" w:hAnsi="Times New Roman"/>
        </w:rPr>
      </w:pPr>
      <w:r w:rsidRPr="00D94E48">
        <w:rPr>
          <w:rFonts w:ascii="Times New Roman" w:eastAsia="Times New Roman" w:hAnsi="Times New Roman" w:cs="Times New Roman"/>
          <w:kern w:val="0"/>
        </w:rPr>
        <w:t xml:space="preserve">           </w:t>
      </w:r>
      <w:r w:rsidRPr="00D94E48">
        <w:rPr>
          <w:rFonts w:ascii="Times New Roman" w:hAnsi="Times New Roman"/>
        </w:rPr>
        <w:t>Исполнитель обязан:</w:t>
      </w:r>
    </w:p>
    <w:p w:rsidR="00D94E48" w:rsidRPr="00D94E48" w:rsidRDefault="00D94E48" w:rsidP="00D94E48">
      <w:pPr>
        <w:ind w:right="-1" w:firstLine="708"/>
        <w:jc w:val="both"/>
        <w:rPr>
          <w:rFonts w:ascii="Times New Roman" w:hAnsi="Times New Roman"/>
        </w:rPr>
      </w:pPr>
      <w:r w:rsidRPr="00D94E48">
        <w:rPr>
          <w:rFonts w:ascii="Times New Roman" w:hAnsi="Times New Roman"/>
        </w:rPr>
        <w:t xml:space="preserve">- предоставить инвалидам </w:t>
      </w:r>
      <w:proofErr w:type="gramStart"/>
      <w:r w:rsidRPr="00D94E48">
        <w:rPr>
          <w:rFonts w:ascii="Times New Roman" w:hAnsi="Times New Roman"/>
        </w:rPr>
        <w:t>права выбора способа получения технического средства</w:t>
      </w:r>
      <w:proofErr w:type="gramEnd"/>
      <w:r w:rsidRPr="00D94E48">
        <w:rPr>
          <w:rFonts w:ascii="Times New Roman" w:hAnsi="Times New Roman"/>
        </w:rPr>
        <w:t xml:space="preserve"> реабилитации (по месту жительства, по месту нахождения пунктов выдачи, по месту нахождения поставщика или иное);</w:t>
      </w:r>
    </w:p>
    <w:p w:rsidR="00D94E48" w:rsidRPr="00D94E48" w:rsidRDefault="00D94E48" w:rsidP="00D94E48">
      <w:pPr>
        <w:ind w:right="-1" w:firstLine="708"/>
        <w:jc w:val="both"/>
        <w:rPr>
          <w:rFonts w:ascii="Times New Roman" w:hAnsi="Times New Roman"/>
        </w:rPr>
      </w:pPr>
      <w:proofErr w:type="gramStart"/>
      <w:r w:rsidRPr="00D94E48">
        <w:rPr>
          <w:rFonts w:ascii="Times New Roman" w:hAnsi="Times New Roman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  <w:proofErr w:type="gramEnd"/>
    </w:p>
    <w:p w:rsidR="00D94E48" w:rsidRPr="00D94E48" w:rsidRDefault="00D94E48" w:rsidP="00D94E48">
      <w:pPr>
        <w:ind w:right="-1" w:firstLine="708"/>
        <w:jc w:val="both"/>
        <w:rPr>
          <w:rFonts w:ascii="Times New Roman" w:hAnsi="Times New Roman"/>
        </w:rPr>
      </w:pPr>
      <w:r w:rsidRPr="00D94E48">
        <w:rPr>
          <w:rFonts w:ascii="Times New Roman" w:hAnsi="Times New Roman"/>
        </w:rPr>
        <w:t>- после получения от Заказчика реестра получателей Изделий организовать информирование получателей о дате, времени и месте получения Изделий;</w:t>
      </w:r>
    </w:p>
    <w:p w:rsidR="00D94E48" w:rsidRPr="00D94E48" w:rsidRDefault="00D94E48" w:rsidP="00D94E48">
      <w:pPr>
        <w:ind w:right="-1" w:firstLine="708"/>
        <w:jc w:val="both"/>
        <w:rPr>
          <w:rFonts w:ascii="Times New Roman" w:hAnsi="Times New Roman"/>
        </w:rPr>
      </w:pPr>
      <w:r w:rsidRPr="00D94E48">
        <w:rPr>
          <w:rFonts w:ascii="Times New Roman" w:hAnsi="Times New Roman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D94E48" w:rsidRPr="00D94E48" w:rsidRDefault="00D94E48" w:rsidP="00D94E48">
      <w:pPr>
        <w:ind w:right="-1" w:firstLine="708"/>
        <w:jc w:val="both"/>
        <w:rPr>
          <w:rFonts w:ascii="Times New Roman" w:hAnsi="Times New Roman"/>
        </w:rPr>
      </w:pPr>
      <w:r w:rsidRPr="00D94E48">
        <w:rPr>
          <w:rFonts w:ascii="Times New Roman" w:hAnsi="Times New Roman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D94E48" w:rsidRPr="00D94E48" w:rsidRDefault="00D94E48" w:rsidP="00D94E48">
      <w:pPr>
        <w:ind w:right="-1" w:firstLine="708"/>
        <w:jc w:val="both"/>
        <w:rPr>
          <w:rFonts w:ascii="Times New Roman" w:hAnsi="Times New Roman"/>
        </w:rPr>
      </w:pPr>
      <w:r w:rsidRPr="00D94E48">
        <w:rPr>
          <w:rFonts w:ascii="Times New Roman" w:hAnsi="Times New Roman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D94E48" w:rsidRPr="00D94E48" w:rsidRDefault="00D94E48" w:rsidP="00D94E48">
      <w:pPr>
        <w:ind w:right="-1" w:firstLine="708"/>
        <w:jc w:val="both"/>
        <w:rPr>
          <w:rFonts w:ascii="Times New Roman" w:hAnsi="Times New Roman"/>
        </w:rPr>
      </w:pPr>
      <w:r w:rsidRPr="00D94E48">
        <w:rPr>
          <w:rFonts w:ascii="Times New Roman" w:hAnsi="Times New Roman"/>
        </w:rPr>
        <w:lastRenderedPageBreak/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D94E48" w:rsidRPr="00D94E48" w:rsidRDefault="00D94E48" w:rsidP="00D94E48">
      <w:pPr>
        <w:ind w:right="-1" w:firstLine="708"/>
        <w:jc w:val="both"/>
        <w:rPr>
          <w:rFonts w:ascii="Times New Roman" w:hAnsi="Times New Roman"/>
        </w:rPr>
      </w:pPr>
      <w:r w:rsidRPr="00D94E48">
        <w:rPr>
          <w:rFonts w:ascii="Times New Roman" w:hAnsi="Times New Roman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D94E48" w:rsidRPr="00D94E48" w:rsidRDefault="00D94E48" w:rsidP="00D94E48">
      <w:pPr>
        <w:ind w:right="-1" w:firstLine="708"/>
        <w:jc w:val="both"/>
        <w:rPr>
          <w:rFonts w:ascii="Times New Roman" w:hAnsi="Times New Roman"/>
        </w:rPr>
      </w:pPr>
      <w:r w:rsidRPr="00D94E48">
        <w:rPr>
          <w:rFonts w:ascii="Times New Roman" w:hAnsi="Times New Roman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средства реабилитации получателю.</w:t>
      </w:r>
    </w:p>
    <w:p w:rsidR="00D94E48" w:rsidRPr="00D94E48" w:rsidRDefault="00D94E48" w:rsidP="00D94E48">
      <w:pPr>
        <w:keepNext/>
        <w:autoSpaceDE w:val="0"/>
        <w:ind w:right="-1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94E48">
        <w:rPr>
          <w:rFonts w:ascii="Times New Roman" w:hAnsi="Times New Roman" w:cs="Times New Roman"/>
          <w:b/>
        </w:rPr>
        <w:t>Место выполнения работ:</w:t>
      </w:r>
      <w:r w:rsidRPr="00D94E48">
        <w:rPr>
          <w:rFonts w:ascii="Times New Roman" w:hAnsi="Times New Roman" w:cs="Times New Roman"/>
        </w:rPr>
        <w:t xml:space="preserve"> </w:t>
      </w:r>
      <w:r w:rsidRPr="00D94E48">
        <w:rPr>
          <w:rFonts w:ascii="Times New Roman" w:eastAsia="Times New Roman" w:hAnsi="Times New Roman" w:cs="Times New Roman"/>
          <w:color w:val="000000"/>
        </w:rPr>
        <w:t xml:space="preserve">Российская Федерация, Дальневосточный федеральный округ, </w:t>
      </w:r>
      <w:r w:rsidRPr="00D94E48">
        <w:rPr>
          <w:rFonts w:ascii="Times New Roman" w:hAnsi="Times New Roman"/>
          <w:bCs/>
        </w:rPr>
        <w:t xml:space="preserve">по месту нахождения Заказчика, </w:t>
      </w:r>
      <w:r w:rsidRPr="00D94E48">
        <w:rPr>
          <w:rFonts w:ascii="Times New Roman" w:eastAsia="Times New Roman" w:hAnsi="Times New Roman" w:cs="Times New Roman"/>
          <w:color w:val="000000"/>
        </w:rPr>
        <w:t>по заказам инвалидов, при наличии направлений, выданных Заказчиком.</w:t>
      </w:r>
    </w:p>
    <w:p w:rsidR="00D94E48" w:rsidRPr="00D94E48" w:rsidRDefault="00D94E48" w:rsidP="00D94E48">
      <w:pPr>
        <w:ind w:right="-1" w:firstLine="720"/>
        <w:jc w:val="both"/>
      </w:pPr>
      <w:r w:rsidRPr="00D94E48">
        <w:rPr>
          <w:rFonts w:ascii="Times New Roman" w:hAnsi="Times New Roman" w:cs="Times New Roman"/>
          <w:b/>
        </w:rPr>
        <w:t>Сроки (периоды) выполнения работ</w:t>
      </w:r>
      <w:r w:rsidRPr="00D94E48">
        <w:rPr>
          <w:rFonts w:ascii="Times New Roman" w:hAnsi="Times New Roman" w:cs="Times New Roman"/>
        </w:rPr>
        <w:t xml:space="preserve">: </w:t>
      </w:r>
      <w:proofErr w:type="gramStart"/>
      <w:r w:rsidRPr="00D94E48">
        <w:rPr>
          <w:rFonts w:ascii="Times New Roman" w:hAnsi="Times New Roman" w:cs="Times New Roman"/>
        </w:rPr>
        <w:t>с даты подписания</w:t>
      </w:r>
      <w:proofErr w:type="gramEnd"/>
      <w:r w:rsidRPr="00D94E48">
        <w:rPr>
          <w:rFonts w:ascii="Times New Roman" w:hAnsi="Times New Roman" w:cs="Times New Roman"/>
        </w:rPr>
        <w:t xml:space="preserve"> Контракта до 04.12.2020 – должно быть изготовлено 100% изделий. Исполнитель выполняет работы по настоящему Контракту в период не более 60 дней </w:t>
      </w:r>
      <w:proofErr w:type="gramStart"/>
      <w:r w:rsidRPr="00D94E48">
        <w:rPr>
          <w:rFonts w:ascii="Times New Roman" w:hAnsi="Times New Roman" w:cs="Times New Roman"/>
        </w:rPr>
        <w:t>с даты обращения</w:t>
      </w:r>
      <w:proofErr w:type="gramEnd"/>
      <w:r w:rsidRPr="00D94E48">
        <w:rPr>
          <w:rFonts w:ascii="Times New Roman" w:hAnsi="Times New Roman" w:cs="Times New Roman"/>
        </w:rPr>
        <w:t xml:space="preserve"> инвалида к Исполнителю с направлением, выданным Заказчиком.</w:t>
      </w:r>
    </w:p>
    <w:p w:rsidR="00D94E48" w:rsidRPr="00D94E48" w:rsidRDefault="00D94E48" w:rsidP="00D94E48">
      <w:pPr>
        <w:ind w:right="-1" w:firstLine="709"/>
        <w:jc w:val="both"/>
        <w:rPr>
          <w:rFonts w:ascii="Times New Roman" w:hAnsi="Times New Roman" w:cs="Times New Roman"/>
        </w:rPr>
      </w:pPr>
      <w:r w:rsidRPr="00D94E48">
        <w:rPr>
          <w:rFonts w:ascii="Times New Roman" w:hAnsi="Times New Roman" w:cs="Times New Roman"/>
        </w:rPr>
        <w:t>В связи с невозможностью определить объем подлежащих выполнению работ, электронный аукцион проводится в соответствии с требованиями пункта 2 ст.42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путем снижения начальной суммы цен единиц работ.</w:t>
      </w:r>
    </w:p>
    <w:p w:rsidR="00D94E48" w:rsidRPr="00D94E48" w:rsidRDefault="00D94E48" w:rsidP="00D94E48">
      <w:pPr>
        <w:ind w:right="-1" w:firstLine="709"/>
        <w:jc w:val="both"/>
        <w:rPr>
          <w:rFonts w:ascii="Times New Roman" w:hAnsi="Times New Roman" w:cs="Times New Roman"/>
        </w:rPr>
      </w:pPr>
      <w:r w:rsidRPr="00D94E48">
        <w:rPr>
          <w:rFonts w:ascii="Times New Roman" w:hAnsi="Times New Roman" w:cs="Times New Roman"/>
        </w:rPr>
        <w:t>Цена единицы работы, по результатам проведения электронного аукциона, определяется путем уменьшения начальной цены единиц работ, пропорционально снижению начальной суммы цен единиц работ.</w:t>
      </w:r>
    </w:p>
    <w:p w:rsidR="00D94E48" w:rsidRPr="00D94E48" w:rsidRDefault="00D94E48" w:rsidP="00D94E48">
      <w:pPr>
        <w:ind w:right="-1" w:firstLine="709"/>
        <w:jc w:val="both"/>
        <w:rPr>
          <w:rFonts w:ascii="Times New Roman" w:hAnsi="Times New Roman" w:cs="Times New Roman"/>
        </w:rPr>
      </w:pPr>
      <w:r w:rsidRPr="00D94E48">
        <w:rPr>
          <w:rFonts w:ascii="Times New Roman" w:hAnsi="Times New Roman" w:cs="Times New Roman"/>
        </w:rPr>
        <w:t>Оплата выполненных работ осуществляется по цене единицы выполненных работ, исходя из объема фактически выполненных работ, но в размере, не превышающем максимального значения цены контракта, указанного в извещении об осуществлении закупки и документации о закупке.</w:t>
      </w:r>
    </w:p>
    <w:p w:rsidR="00920388" w:rsidRDefault="00920388">
      <w:pPr>
        <w:widowControl/>
        <w:shd w:val="clear" w:color="auto" w:fill="FFFFFF"/>
        <w:textAlignment w:val="auto"/>
        <w:rPr>
          <w:rFonts w:ascii="Times New Roman" w:eastAsia="Times New Roman" w:hAnsi="Times New Roman" w:cs="Times New Roman"/>
          <w:color w:val="000000"/>
        </w:rPr>
      </w:pPr>
    </w:p>
    <w:p w:rsidR="00D86661" w:rsidRDefault="00D86661">
      <w:pPr>
        <w:widowControl/>
        <w:shd w:val="clear" w:color="auto" w:fill="FFFFFF"/>
        <w:textAlignment w:val="auto"/>
        <w:rPr>
          <w:rFonts w:ascii="Times New Roman" w:eastAsia="Times New Roman" w:hAnsi="Times New Roman" w:cs="Times New Roman"/>
          <w:color w:val="000000"/>
        </w:rPr>
      </w:pPr>
    </w:p>
    <w:sectPr w:rsidR="00D86661" w:rsidSect="00FA5F58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57" w:rsidRDefault="00D91257">
      <w:r>
        <w:separator/>
      </w:r>
    </w:p>
  </w:endnote>
  <w:endnote w:type="continuationSeparator" w:id="0">
    <w:p w:rsidR="00D91257" w:rsidRDefault="00D9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57" w:rsidRDefault="00D91257">
      <w:r>
        <w:rPr>
          <w:color w:val="000000"/>
        </w:rPr>
        <w:separator/>
      </w:r>
    </w:p>
  </w:footnote>
  <w:footnote w:type="continuationSeparator" w:id="0">
    <w:p w:rsidR="00D91257" w:rsidRDefault="00D9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4"/>
    <w:rsid w:val="00000181"/>
    <w:rsid w:val="00034FC7"/>
    <w:rsid w:val="00040E9B"/>
    <w:rsid w:val="000A2ED9"/>
    <w:rsid w:val="001225E5"/>
    <w:rsid w:val="00145F32"/>
    <w:rsid w:val="0015189C"/>
    <w:rsid w:val="001560BC"/>
    <w:rsid w:val="00156856"/>
    <w:rsid w:val="00166387"/>
    <w:rsid w:val="00192E05"/>
    <w:rsid w:val="001939AE"/>
    <w:rsid w:val="001A1880"/>
    <w:rsid w:val="001D1F38"/>
    <w:rsid w:val="001D5034"/>
    <w:rsid w:val="001E16ED"/>
    <w:rsid w:val="001E541D"/>
    <w:rsid w:val="00230ABB"/>
    <w:rsid w:val="00297F38"/>
    <w:rsid w:val="002A0E7C"/>
    <w:rsid w:val="002A7D07"/>
    <w:rsid w:val="003170E4"/>
    <w:rsid w:val="00320A07"/>
    <w:rsid w:val="00345635"/>
    <w:rsid w:val="00391B6B"/>
    <w:rsid w:val="003B048B"/>
    <w:rsid w:val="003C01D1"/>
    <w:rsid w:val="003C1B01"/>
    <w:rsid w:val="003E2B06"/>
    <w:rsid w:val="003F0EA0"/>
    <w:rsid w:val="00401113"/>
    <w:rsid w:val="00435892"/>
    <w:rsid w:val="00454A6C"/>
    <w:rsid w:val="004A5537"/>
    <w:rsid w:val="004A5634"/>
    <w:rsid w:val="004E4A27"/>
    <w:rsid w:val="004E7310"/>
    <w:rsid w:val="00526EB6"/>
    <w:rsid w:val="005520C3"/>
    <w:rsid w:val="0057260D"/>
    <w:rsid w:val="00595365"/>
    <w:rsid w:val="005A79BE"/>
    <w:rsid w:val="005B1023"/>
    <w:rsid w:val="005C6A4B"/>
    <w:rsid w:val="005E5A66"/>
    <w:rsid w:val="0066367E"/>
    <w:rsid w:val="006A3FCB"/>
    <w:rsid w:val="006C24AC"/>
    <w:rsid w:val="006C41ED"/>
    <w:rsid w:val="006D1079"/>
    <w:rsid w:val="006E4896"/>
    <w:rsid w:val="006F0467"/>
    <w:rsid w:val="006F1E36"/>
    <w:rsid w:val="006F5893"/>
    <w:rsid w:val="00700B75"/>
    <w:rsid w:val="0070620C"/>
    <w:rsid w:val="00714496"/>
    <w:rsid w:val="0075560F"/>
    <w:rsid w:val="007975E5"/>
    <w:rsid w:val="007A2A83"/>
    <w:rsid w:val="007B0C5E"/>
    <w:rsid w:val="007B196E"/>
    <w:rsid w:val="007C60BF"/>
    <w:rsid w:val="008519F7"/>
    <w:rsid w:val="00855FE1"/>
    <w:rsid w:val="00866063"/>
    <w:rsid w:val="00871A03"/>
    <w:rsid w:val="0089715A"/>
    <w:rsid w:val="008B5A04"/>
    <w:rsid w:val="009200F8"/>
    <w:rsid w:val="00920388"/>
    <w:rsid w:val="0095385E"/>
    <w:rsid w:val="0097657F"/>
    <w:rsid w:val="009871B7"/>
    <w:rsid w:val="0099107A"/>
    <w:rsid w:val="009C65C7"/>
    <w:rsid w:val="009D0ACC"/>
    <w:rsid w:val="009D7EB5"/>
    <w:rsid w:val="009E48A7"/>
    <w:rsid w:val="00A0425A"/>
    <w:rsid w:val="00A33262"/>
    <w:rsid w:val="00A83C4B"/>
    <w:rsid w:val="00A97185"/>
    <w:rsid w:val="00AB1D52"/>
    <w:rsid w:val="00AC6643"/>
    <w:rsid w:val="00AE56FD"/>
    <w:rsid w:val="00AF17E5"/>
    <w:rsid w:val="00B028DD"/>
    <w:rsid w:val="00B209AD"/>
    <w:rsid w:val="00B258D3"/>
    <w:rsid w:val="00B632B0"/>
    <w:rsid w:val="00B920AF"/>
    <w:rsid w:val="00BD24A8"/>
    <w:rsid w:val="00BF263C"/>
    <w:rsid w:val="00C507E7"/>
    <w:rsid w:val="00C60F3A"/>
    <w:rsid w:val="00C64934"/>
    <w:rsid w:val="00C80B00"/>
    <w:rsid w:val="00C82DFE"/>
    <w:rsid w:val="00C83CA7"/>
    <w:rsid w:val="00C86FAB"/>
    <w:rsid w:val="00C94D2D"/>
    <w:rsid w:val="00CA663D"/>
    <w:rsid w:val="00CC7B36"/>
    <w:rsid w:val="00CF5A10"/>
    <w:rsid w:val="00D15AE5"/>
    <w:rsid w:val="00D238EC"/>
    <w:rsid w:val="00D436F1"/>
    <w:rsid w:val="00D570AF"/>
    <w:rsid w:val="00D756A5"/>
    <w:rsid w:val="00D86661"/>
    <w:rsid w:val="00D87ED1"/>
    <w:rsid w:val="00D91257"/>
    <w:rsid w:val="00D94E48"/>
    <w:rsid w:val="00DC75AF"/>
    <w:rsid w:val="00DF7460"/>
    <w:rsid w:val="00E151F3"/>
    <w:rsid w:val="00E31F7F"/>
    <w:rsid w:val="00E46382"/>
    <w:rsid w:val="00E667C8"/>
    <w:rsid w:val="00EB4E8D"/>
    <w:rsid w:val="00EC7346"/>
    <w:rsid w:val="00ED745D"/>
    <w:rsid w:val="00ED7764"/>
    <w:rsid w:val="00F11E8F"/>
    <w:rsid w:val="00F42D58"/>
    <w:rsid w:val="00F54E32"/>
    <w:rsid w:val="00F8768E"/>
    <w:rsid w:val="00F95BBC"/>
    <w:rsid w:val="00FA5F58"/>
    <w:rsid w:val="00FC3FC4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  <w:style w:type="table" w:styleId="ac">
    <w:name w:val="Table Grid"/>
    <w:basedOn w:val="a1"/>
    <w:uiPriority w:val="39"/>
    <w:rsid w:val="00E667C8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  <w:style w:type="table" w:styleId="ac">
    <w:name w:val="Table Grid"/>
    <w:basedOn w:val="a1"/>
    <w:uiPriority w:val="39"/>
    <w:rsid w:val="00E667C8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Селиванов Родион</dc:creator>
  <cp:lastModifiedBy>Шунгаева Валентина Владимировна</cp:lastModifiedBy>
  <cp:revision>24</cp:revision>
  <cp:lastPrinted>2020-08-31T01:31:00Z</cp:lastPrinted>
  <dcterms:created xsi:type="dcterms:W3CDTF">2020-06-09T03:02:00Z</dcterms:created>
  <dcterms:modified xsi:type="dcterms:W3CDTF">2020-09-07T06:32:00Z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