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BC" w:rsidRPr="00206568" w:rsidRDefault="002438BC" w:rsidP="002438BC">
      <w:pPr>
        <w:keepNext/>
        <w:jc w:val="center"/>
        <w:rPr>
          <w:rFonts w:eastAsia="Lucida Sans Unicode"/>
          <w:color w:val="000000"/>
          <w:kern w:val="1"/>
          <w:lang w:eastAsia="en-US" w:bidi="en-US"/>
        </w:rPr>
      </w:pPr>
    </w:p>
    <w:p w:rsidR="002438BC" w:rsidRDefault="002438BC" w:rsidP="002438B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2"/>
        <w:gridCol w:w="5598"/>
      </w:tblGrid>
      <w:tr w:rsidR="002438BC" w:rsidTr="000B35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BC" w:rsidRDefault="002438BC" w:rsidP="000B3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BC" w:rsidRDefault="002438BC" w:rsidP="000B3521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2438BC" w:rsidTr="000B35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BC" w:rsidRDefault="002438BC" w:rsidP="000B3521">
            <w:pPr>
              <w:pStyle w:val="Standard"/>
              <w:ind w:left="4" w:right="4"/>
              <w:jc w:val="both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</w:rPr>
              <w:t>Впитывающие простыни (пеленки)</w:t>
            </w:r>
          </w:p>
          <w:p w:rsidR="002438BC" w:rsidRDefault="002438BC" w:rsidP="000B3521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Размер - не менее 40*60 см;</w:t>
            </w:r>
          </w:p>
          <w:p w:rsidR="002438BC" w:rsidRDefault="002438BC" w:rsidP="000B3521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Впитываемостью</w:t>
            </w:r>
            <w:proofErr w:type="spellEnd"/>
            <w:r>
              <w:rPr>
                <w:rFonts w:ascii="Times New Roman" w:hAnsi="Times New Roman"/>
              </w:rPr>
              <w:t xml:space="preserve"> – (от 400 до 500 мл)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BC" w:rsidRDefault="002438BC" w:rsidP="000B3521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Многослойная с впитывающим слоем из абсорбента и (или) распушенной целлюлозы, которые позволяют впитанной жидкости равномерно распределяться по всей площади.</w:t>
            </w:r>
          </w:p>
          <w:p w:rsidR="002438BC" w:rsidRDefault="002438BC" w:rsidP="000B3521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Нижний слой выполнен из водонепроницаемой нескользящей пленки, верхний слой - из тонкого нетканого материала, подобного текстилю.</w:t>
            </w:r>
          </w:p>
        </w:tc>
      </w:tr>
      <w:tr w:rsidR="002438BC" w:rsidTr="000B35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BC" w:rsidRDefault="002438BC" w:rsidP="000B3521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Впитывающие простыни (пеленки)</w:t>
            </w:r>
          </w:p>
          <w:p w:rsidR="002438BC" w:rsidRDefault="002438BC" w:rsidP="000B3521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Размер - не менее 60*60 см;</w:t>
            </w:r>
          </w:p>
          <w:p w:rsidR="002438BC" w:rsidRDefault="002438BC" w:rsidP="000B3521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Впитываемостью</w:t>
            </w:r>
            <w:proofErr w:type="spellEnd"/>
            <w:r>
              <w:rPr>
                <w:rFonts w:ascii="Times New Roman" w:hAnsi="Times New Roman"/>
              </w:rPr>
              <w:t xml:space="preserve"> – (от 800 до 1200 мл)</w:t>
            </w:r>
          </w:p>
        </w:tc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BC" w:rsidRDefault="002438BC" w:rsidP="000B3521">
            <w:pPr>
              <w:suppressAutoHyphens w:val="0"/>
              <w:rPr>
                <w:kern w:val="3"/>
              </w:rPr>
            </w:pPr>
          </w:p>
        </w:tc>
      </w:tr>
      <w:tr w:rsidR="002438BC" w:rsidTr="000B35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BC" w:rsidRDefault="002438BC" w:rsidP="000B3521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Впитывающие простыни (пеленки)</w:t>
            </w:r>
          </w:p>
          <w:p w:rsidR="002438BC" w:rsidRDefault="002438BC" w:rsidP="000B3521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Размер - не менее 60*90 см;</w:t>
            </w:r>
          </w:p>
          <w:p w:rsidR="002438BC" w:rsidRDefault="002438BC" w:rsidP="000B3521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Впитываемостью</w:t>
            </w:r>
            <w:proofErr w:type="spellEnd"/>
            <w:r>
              <w:rPr>
                <w:rFonts w:ascii="Times New Roman" w:hAnsi="Times New Roman"/>
              </w:rPr>
              <w:t xml:space="preserve"> – (от 1200 до 1900 мл)</w:t>
            </w:r>
          </w:p>
        </w:tc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BC" w:rsidRDefault="002438BC" w:rsidP="000B3521">
            <w:pPr>
              <w:suppressAutoHyphens w:val="0"/>
              <w:rPr>
                <w:kern w:val="3"/>
              </w:rPr>
            </w:pPr>
          </w:p>
        </w:tc>
      </w:tr>
    </w:tbl>
    <w:p w:rsidR="002438BC" w:rsidRDefault="002438BC" w:rsidP="002438BC">
      <w:pPr>
        <w:pStyle w:val="Standard"/>
        <w:jc w:val="center"/>
        <w:rPr>
          <w:rFonts w:ascii="Times New Roman" w:hAnsi="Times New Roman" w:cs="Times New Roman"/>
          <w:kern w:val="3"/>
        </w:rPr>
      </w:pPr>
    </w:p>
    <w:p w:rsidR="002438BC" w:rsidRDefault="002438BC" w:rsidP="002438BC">
      <w:pPr>
        <w:pStyle w:val="Standard"/>
        <w:ind w:right="-427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качеству Товара:</w:t>
      </w:r>
    </w:p>
    <w:p w:rsidR="002438BC" w:rsidRDefault="002438BC" w:rsidP="002438BC">
      <w:pPr>
        <w:pStyle w:val="Standard"/>
        <w:ind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2438BC" w:rsidRDefault="002438BC" w:rsidP="002438BC">
      <w:pPr>
        <w:pStyle w:val="Standard"/>
        <w:ind w:right="-427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>Функциональным предназначением впитывающей пеленки является обеспечение впитывания мочи и защиты постели от протекания. Рабочая поверхность пеленки остается сухой на протяжении всего периода использования, впитанная жидкость не выделяется наружу. Верхний слой пеленки из мягкого на ощупь материала, обеспечивающего комфорт.</w:t>
      </w:r>
      <w:r>
        <w:t xml:space="preserve"> </w:t>
      </w:r>
    </w:p>
    <w:p w:rsidR="002438BC" w:rsidRDefault="002438BC" w:rsidP="002438BC">
      <w:pPr>
        <w:pStyle w:val="Standard"/>
        <w:ind w:right="-427"/>
        <w:jc w:val="both"/>
        <w:rPr>
          <w:rFonts w:ascii="Times New Roman" w:hAnsi="Times New Roman"/>
          <w:b/>
        </w:rPr>
      </w:pPr>
    </w:p>
    <w:p w:rsidR="002438BC" w:rsidRDefault="002438BC" w:rsidP="002438BC">
      <w:pPr>
        <w:pStyle w:val="Standard"/>
        <w:keepNext/>
        <w:tabs>
          <w:tab w:val="left" w:pos="708"/>
        </w:tabs>
        <w:ind w:right="-427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маркировке, упаковке и отгрузке Товара:</w:t>
      </w:r>
    </w:p>
    <w:p w:rsidR="002438BC" w:rsidRDefault="002438BC" w:rsidP="002438BC">
      <w:pPr>
        <w:pStyle w:val="Standard"/>
        <w:tabs>
          <w:tab w:val="left" w:pos="708"/>
        </w:tabs>
        <w:ind w:right="-427"/>
        <w:jc w:val="both"/>
      </w:pPr>
      <w:r>
        <w:rPr>
          <w:rFonts w:ascii="Times New Roman" w:hAnsi="Times New Roman"/>
        </w:rPr>
        <w:t>Маркировка упаковки впитывающих простыней (пеленок)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должна включать:</w:t>
      </w:r>
    </w:p>
    <w:p w:rsidR="002438BC" w:rsidRDefault="002438BC" w:rsidP="002438BC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42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условное обозначение группы впитывающих пеленок;</w:t>
      </w:r>
    </w:p>
    <w:p w:rsidR="002438BC" w:rsidRDefault="002438BC" w:rsidP="002438BC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42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товарную марку (при наличии);</w:t>
      </w:r>
    </w:p>
    <w:p w:rsidR="002438BC" w:rsidRDefault="002438BC" w:rsidP="002438BC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42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размера изделия;</w:t>
      </w:r>
    </w:p>
    <w:p w:rsidR="002438BC" w:rsidRDefault="002438BC" w:rsidP="002438BC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42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обозначение </w:t>
      </w:r>
      <w:proofErr w:type="spellStart"/>
      <w:r>
        <w:rPr>
          <w:rFonts w:ascii="Times New Roman" w:hAnsi="Times New Roman"/>
        </w:rPr>
        <w:t>впитываемости</w:t>
      </w:r>
      <w:proofErr w:type="spellEnd"/>
      <w:r>
        <w:rPr>
          <w:rFonts w:ascii="Times New Roman" w:hAnsi="Times New Roman"/>
        </w:rPr>
        <w:t xml:space="preserve"> изделия;</w:t>
      </w:r>
    </w:p>
    <w:p w:rsidR="002438BC" w:rsidRDefault="002438BC" w:rsidP="002438BC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42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страну-изготовителя;</w:t>
      </w:r>
    </w:p>
    <w:p w:rsidR="002438BC" w:rsidRDefault="002438BC" w:rsidP="002438BC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42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предприятия-изготовителя;</w:t>
      </w:r>
    </w:p>
    <w:p w:rsidR="002438BC" w:rsidRDefault="002438BC" w:rsidP="002438BC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427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адрес, товарный знак (при наличии);</w:t>
      </w:r>
    </w:p>
    <w:p w:rsidR="002438BC" w:rsidRDefault="002438BC" w:rsidP="002438BC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427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номер артикула (при наличии);</w:t>
      </w:r>
    </w:p>
    <w:p w:rsidR="002438BC" w:rsidRDefault="002438BC" w:rsidP="002438BC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427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изделий в упаковке;</w:t>
      </w:r>
    </w:p>
    <w:p w:rsidR="002438BC" w:rsidRDefault="002438BC" w:rsidP="002438BC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427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дату (месяц, год) изготовления;</w:t>
      </w:r>
    </w:p>
    <w:p w:rsidR="002438BC" w:rsidRDefault="002438BC" w:rsidP="002438BC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427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срок годности;</w:t>
      </w:r>
    </w:p>
    <w:p w:rsidR="002438BC" w:rsidRDefault="002438BC" w:rsidP="002438BC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427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указания по утилизации: «Не бросать в канализацию»;</w:t>
      </w:r>
    </w:p>
    <w:p w:rsidR="002438BC" w:rsidRDefault="002438BC" w:rsidP="002438BC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42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правила использования (при необходимости);</w:t>
      </w:r>
    </w:p>
    <w:p w:rsidR="002438BC" w:rsidRDefault="002438BC" w:rsidP="002438BC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42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штриховой код изделия (при наличии);</w:t>
      </w:r>
    </w:p>
    <w:p w:rsidR="002438BC" w:rsidRDefault="002438BC" w:rsidP="002438BC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42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о сертификации (при наличии).</w:t>
      </w:r>
    </w:p>
    <w:p w:rsidR="002438BC" w:rsidRDefault="002438BC" w:rsidP="002438BC">
      <w:pPr>
        <w:pStyle w:val="Standard"/>
        <w:tabs>
          <w:tab w:val="left" w:pos="708"/>
        </w:tabs>
        <w:ind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Впитывающие простыни (пеленки)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 несколько штук упаковывают в пакеты из полимерной пленки, пачки, коробки или другую тару, обеспечивающую их сохранность при транспортировании и хранении. Швы в пакетах из полимерной пленки должны быть заварены.</w:t>
      </w:r>
      <w:r>
        <w:rPr>
          <w:rFonts w:ascii="Times New Roman" w:hAnsi="Times New Roman"/>
        </w:rPr>
        <w:tab/>
        <w:t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2438BC" w:rsidRDefault="002438BC" w:rsidP="002438BC">
      <w:pPr>
        <w:pStyle w:val="Standard"/>
        <w:keepNext/>
        <w:tabs>
          <w:tab w:val="left" w:pos="708"/>
        </w:tabs>
        <w:ind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Упаковка впитывающих простыней (пеленок) должна обеспечивать их защиту от повреждений, порчи или загрязнения и от воздействия механических и климатических факторов во время </w:t>
      </w:r>
      <w:r>
        <w:rPr>
          <w:rFonts w:ascii="Times New Roman" w:hAnsi="Times New Roman"/>
        </w:rPr>
        <w:lastRenderedPageBreak/>
        <w:t>хранения и транспортирования к месту использования по назначению.</w:t>
      </w:r>
    </w:p>
    <w:p w:rsidR="002438BC" w:rsidRDefault="002438BC" w:rsidP="002438BC">
      <w:pPr>
        <w:pStyle w:val="Standard"/>
        <w:keepNext/>
        <w:tabs>
          <w:tab w:val="left" w:pos="708"/>
        </w:tabs>
        <w:ind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погрузо-разгрузочных работ не допускается повреждение упаковки Товара.</w:t>
      </w:r>
    </w:p>
    <w:p w:rsidR="002438BC" w:rsidRDefault="002438BC" w:rsidP="002438BC">
      <w:pPr>
        <w:pStyle w:val="Standard"/>
        <w:keepNext/>
        <w:tabs>
          <w:tab w:val="left" w:pos="708"/>
        </w:tabs>
        <w:ind w:right="-427"/>
        <w:jc w:val="both"/>
        <w:rPr>
          <w:rFonts w:ascii="Times New Roman" w:hAnsi="Times New Roman"/>
        </w:rPr>
      </w:pPr>
    </w:p>
    <w:p w:rsidR="002438BC" w:rsidRDefault="002438BC" w:rsidP="002438BC">
      <w:pPr>
        <w:pStyle w:val="Standard"/>
        <w:keepNext/>
        <w:tabs>
          <w:tab w:val="left" w:pos="708"/>
        </w:tabs>
        <w:ind w:right="-427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безопасности Товара:</w:t>
      </w:r>
    </w:p>
    <w:p w:rsidR="002438BC" w:rsidRDefault="002438BC" w:rsidP="002438BC">
      <w:pPr>
        <w:ind w:right="-427" w:firstLine="709"/>
        <w:jc w:val="both"/>
      </w:pPr>
      <w:r>
        <w:t xml:space="preserve">Поверхность пеленок должна быть из </w:t>
      </w:r>
      <w:proofErr w:type="spellStart"/>
      <w:r>
        <w:t>гипоаллергенного</w:t>
      </w:r>
      <w:proofErr w:type="spellEnd"/>
      <w:r>
        <w:t xml:space="preserve"> нетканого материала.</w:t>
      </w:r>
    </w:p>
    <w:p w:rsidR="002438BC" w:rsidRDefault="002438BC" w:rsidP="002438BC">
      <w:pPr>
        <w:ind w:right="-427" w:firstLine="709"/>
        <w:jc w:val="both"/>
      </w:pPr>
    </w:p>
    <w:p w:rsidR="002438BC" w:rsidRDefault="002438BC" w:rsidP="002438BC">
      <w:pPr>
        <w:pStyle w:val="Standard"/>
        <w:tabs>
          <w:tab w:val="left" w:pos="708"/>
        </w:tabs>
        <w:ind w:right="-427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гарантии качества Товара:</w:t>
      </w:r>
    </w:p>
    <w:p w:rsidR="002438BC" w:rsidRDefault="002438BC" w:rsidP="002438BC">
      <w:pPr>
        <w:pStyle w:val="Standard"/>
        <w:tabs>
          <w:tab w:val="left" w:pos="708"/>
        </w:tabs>
        <w:ind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Абсорбирующее белье — впитывающие простыни (пеленки)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2438BC" w:rsidRDefault="002438BC" w:rsidP="002438BC">
      <w:pPr>
        <w:pStyle w:val="Standard"/>
        <w:tabs>
          <w:tab w:val="left" w:pos="708"/>
        </w:tabs>
        <w:ind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Остаточный срок годности впитывающих простыней (пеленок)- на момент выдачи Получателю должен быть не менее 70 % от установленного начала срока годности.</w:t>
      </w:r>
    </w:p>
    <w:p w:rsidR="002438BC" w:rsidRDefault="002438BC" w:rsidP="002438BC">
      <w:pPr>
        <w:pStyle w:val="Standard"/>
        <w:ind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438BC" w:rsidRDefault="002438BC" w:rsidP="002438BC">
      <w:pPr>
        <w:pStyle w:val="Standard"/>
        <w:ind w:right="-4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Требования к месту, условиям и срокам (периодам) поставки: </w:t>
      </w:r>
    </w:p>
    <w:p w:rsidR="002438BC" w:rsidRDefault="002438BC" w:rsidP="002438BC">
      <w:pPr>
        <w:pStyle w:val="Standard"/>
        <w:ind w:right="-427"/>
        <w:jc w:val="both"/>
      </w:pPr>
      <w:r>
        <w:rPr>
          <w:rFonts w:ascii="Times New Roman" w:hAnsi="Times New Roman"/>
          <w:i/>
        </w:rPr>
        <w:t xml:space="preserve">           </w:t>
      </w:r>
      <w:r>
        <w:rPr>
          <w:rFonts w:ascii="Times New Roman" w:hAnsi="Times New Roman"/>
          <w:b/>
          <w:i/>
        </w:rPr>
        <w:t xml:space="preserve">- </w:t>
      </w:r>
      <w:r>
        <w:rPr>
          <w:rFonts w:ascii="Times New Roman" w:hAnsi="Times New Roman"/>
        </w:rPr>
        <w:t>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2438BC" w:rsidRDefault="002438BC" w:rsidP="002438BC">
      <w:pPr>
        <w:pStyle w:val="Standard"/>
        <w:ind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2438BC" w:rsidRDefault="002438BC" w:rsidP="002438BC">
      <w:pPr>
        <w:pStyle w:val="Standard"/>
        <w:ind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2438BC" w:rsidRDefault="002438BC" w:rsidP="002438BC">
      <w:pPr>
        <w:pStyle w:val="Standard"/>
        <w:ind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2438BC" w:rsidRDefault="002438BC" w:rsidP="002438BC">
      <w:pPr>
        <w:pStyle w:val="Standard"/>
        <w:ind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инвалидам;</w:t>
      </w:r>
    </w:p>
    <w:p w:rsidR="002438BC" w:rsidRDefault="002438BC" w:rsidP="002438BC">
      <w:pPr>
        <w:pStyle w:val="Standard"/>
        <w:ind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:rsidR="002438BC" w:rsidRDefault="002438BC" w:rsidP="002438BC">
      <w:pPr>
        <w:pStyle w:val="Standard"/>
        <w:ind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исключение длительного ожидания и обслуживания инвалидов,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поставщика;</w:t>
      </w:r>
    </w:p>
    <w:p w:rsidR="002438BC" w:rsidRDefault="002438BC" w:rsidP="002438BC">
      <w:pPr>
        <w:pStyle w:val="Standard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после подписания Государственного контракта, в течение 10 дней предоставить Заказчику </w:t>
      </w:r>
    </w:p>
    <w:p w:rsidR="002438BC" w:rsidRDefault="002438BC" w:rsidP="002438BC">
      <w:pPr>
        <w:pStyle w:val="Standard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>- график поставки инвалидам технических средств реабилитации;</w:t>
      </w:r>
    </w:p>
    <w:p w:rsidR="002438BC" w:rsidRDefault="002438BC" w:rsidP="002438BC">
      <w:pPr>
        <w:pStyle w:val="Standard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>- предоставление территориальному органу Фонда копии графика поставки инвалидам технических средств реабилитации в электронном виде;</w:t>
      </w:r>
    </w:p>
    <w:p w:rsidR="002438BC" w:rsidRDefault="002438BC" w:rsidP="002438BC">
      <w:pPr>
        <w:pStyle w:val="Standard"/>
        <w:ind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информирование инвалидов о дате, времени и месте поставки.</w:t>
      </w:r>
    </w:p>
    <w:p w:rsidR="002438BC" w:rsidRDefault="002438BC" w:rsidP="002438BC">
      <w:pPr>
        <w:pStyle w:val="Standard"/>
        <w:ind w:right="-427"/>
        <w:jc w:val="both"/>
        <w:rPr>
          <w:rFonts w:ascii="Times New Roman" w:hAnsi="Times New Roman"/>
        </w:rPr>
      </w:pPr>
    </w:p>
    <w:p w:rsidR="002438BC" w:rsidRDefault="002438BC" w:rsidP="002438BC">
      <w:pPr>
        <w:pStyle w:val="Standard"/>
        <w:ind w:right="-427"/>
        <w:jc w:val="both"/>
      </w:pPr>
      <w:r>
        <w:rPr>
          <w:rFonts w:ascii="Times New Roman" w:hAnsi="Times New Roman"/>
          <w:b/>
          <w:bCs/>
          <w:u w:val="single"/>
        </w:rPr>
        <w:t>Требования к месту, условиям и срокам (периодам) поставки:</w:t>
      </w:r>
    </w:p>
    <w:p w:rsidR="002438BC" w:rsidRDefault="002438BC" w:rsidP="002438BC">
      <w:pPr>
        <w:ind w:right="-427"/>
        <w:jc w:val="both"/>
      </w:pPr>
      <w:proofErr w:type="spellStart"/>
      <w:r>
        <w:rPr>
          <w:rFonts w:eastAsia="Andale Sans UI"/>
          <w:b/>
          <w:lang w:val="de-DE" w:eastAsia="ja-JP" w:bidi="fa-IR"/>
        </w:rPr>
        <w:t>Место</w:t>
      </w:r>
      <w:proofErr w:type="spellEnd"/>
      <w:r>
        <w:rPr>
          <w:rFonts w:eastAsia="Andale Sans UI"/>
          <w:b/>
          <w:lang w:val="de-DE" w:eastAsia="ja-JP" w:bidi="fa-IR"/>
        </w:rPr>
        <w:t xml:space="preserve">  </w:t>
      </w:r>
      <w:proofErr w:type="spellStart"/>
      <w:r>
        <w:rPr>
          <w:rFonts w:eastAsia="Andale Sans UI"/>
          <w:b/>
          <w:lang w:val="de-DE" w:eastAsia="ja-JP" w:bidi="fa-IR"/>
        </w:rPr>
        <w:t>поставки</w:t>
      </w:r>
      <w:proofErr w:type="spellEnd"/>
      <w:r>
        <w:rPr>
          <w:rFonts w:eastAsia="Andale Sans UI"/>
          <w:b/>
          <w:lang w:val="de-DE" w:eastAsia="ja-JP" w:bidi="fa-IR"/>
        </w:rPr>
        <w:t xml:space="preserve"> </w:t>
      </w:r>
      <w:proofErr w:type="spellStart"/>
      <w:r>
        <w:rPr>
          <w:rFonts w:eastAsia="Andale Sans UI"/>
          <w:b/>
          <w:lang w:val="de-DE" w:eastAsia="ja-JP" w:bidi="fa-IR"/>
        </w:rPr>
        <w:t>товара</w:t>
      </w:r>
      <w:proofErr w:type="spellEnd"/>
      <w:r>
        <w:rPr>
          <w:rFonts w:eastAsia="Andale Sans UI"/>
          <w:lang w:val="de-DE" w:eastAsia="ja-JP" w:bidi="fa-IR"/>
        </w:rPr>
        <w:t xml:space="preserve">: </w:t>
      </w:r>
      <w:proofErr w:type="spellStart"/>
      <w:r>
        <w:rPr>
          <w:rFonts w:eastAsia="Andale Sans UI"/>
          <w:lang w:val="de-DE" w:eastAsia="ja-JP" w:bidi="fa-IR"/>
        </w:rPr>
        <w:t>по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месту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нахождения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Поставщика</w:t>
      </w:r>
      <w:proofErr w:type="spellEnd"/>
      <w:r>
        <w:rPr>
          <w:rFonts w:eastAsia="Andale Sans UI"/>
          <w:lang w:eastAsia="ja-JP" w:bidi="fa-IR"/>
        </w:rPr>
        <w:t>, либо</w:t>
      </w:r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по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месту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жительства</w:t>
      </w:r>
      <w:proofErr w:type="spellEnd"/>
      <w:r>
        <w:rPr>
          <w:rFonts w:eastAsia="Andale Sans UI"/>
          <w:lang w:val="de-DE" w:eastAsia="ja-JP" w:bidi="fa-IR"/>
        </w:rPr>
        <w:t xml:space="preserve">  (</w:t>
      </w:r>
      <w:proofErr w:type="spellStart"/>
      <w:r>
        <w:rPr>
          <w:rFonts w:eastAsia="Andale Sans UI"/>
          <w:lang w:val="de-DE" w:eastAsia="ja-JP" w:bidi="fa-IR"/>
        </w:rPr>
        <w:t>Получателя</w:t>
      </w:r>
      <w:proofErr w:type="spellEnd"/>
      <w:r>
        <w:rPr>
          <w:rFonts w:eastAsia="Andale Sans UI"/>
          <w:lang w:val="de-DE" w:eastAsia="ja-JP" w:bidi="fa-IR"/>
        </w:rPr>
        <w:t xml:space="preserve">) </w:t>
      </w:r>
      <w:proofErr w:type="spellStart"/>
      <w:r>
        <w:rPr>
          <w:rFonts w:eastAsia="Andale Sans UI"/>
          <w:lang w:val="de-DE" w:eastAsia="ja-JP" w:bidi="fa-IR"/>
        </w:rPr>
        <w:t>инвалида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Приморский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край</w:t>
      </w:r>
      <w:proofErr w:type="spellEnd"/>
      <w:r>
        <w:rPr>
          <w:rFonts w:eastAsia="Andale Sans UI"/>
          <w:lang w:val="de-DE" w:eastAsia="ja-JP" w:bidi="fa-IR"/>
        </w:rPr>
        <w:t xml:space="preserve"> (г. </w:t>
      </w:r>
      <w:proofErr w:type="spellStart"/>
      <w:r>
        <w:rPr>
          <w:rFonts w:eastAsia="Andale Sans UI"/>
          <w:lang w:val="de-DE" w:eastAsia="ja-JP" w:bidi="fa-IR"/>
        </w:rPr>
        <w:t>Уссурийск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Уссурийский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Хорольский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Михайловский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Октябрьский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Пограничный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Ханкайский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Дальнереченск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Лесозаводск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Черниговский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Спасск-Дальний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пгт</w:t>
      </w:r>
      <w:proofErr w:type="spellEnd"/>
      <w:r>
        <w:rPr>
          <w:rFonts w:eastAsia="Andale Sans UI"/>
          <w:lang w:val="de-DE" w:eastAsia="ja-JP" w:bidi="fa-IR"/>
        </w:rPr>
        <w:t xml:space="preserve">. </w:t>
      </w:r>
      <w:proofErr w:type="spellStart"/>
      <w:r>
        <w:rPr>
          <w:rFonts w:eastAsia="Andale Sans UI"/>
          <w:lang w:val="de-DE" w:eastAsia="ja-JP" w:bidi="fa-IR"/>
        </w:rPr>
        <w:t>Лучегорск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Красноармейский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Пожарский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Кировский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Владивосток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Артем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Большой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Камень</w:t>
      </w:r>
      <w:proofErr w:type="spellEnd"/>
      <w:r>
        <w:rPr>
          <w:rFonts w:eastAsia="Andale Sans UI"/>
          <w:lang w:val="de-DE" w:eastAsia="ja-JP" w:bidi="fa-IR"/>
        </w:rPr>
        <w:t xml:space="preserve">, п. </w:t>
      </w:r>
      <w:proofErr w:type="spellStart"/>
      <w:r>
        <w:rPr>
          <w:rFonts w:eastAsia="Andale Sans UI"/>
          <w:lang w:val="de-DE" w:eastAsia="ja-JP" w:bidi="fa-IR"/>
        </w:rPr>
        <w:t>Славянка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Хасанский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Надеждинский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Фокино</w:t>
      </w:r>
      <w:proofErr w:type="spellEnd"/>
      <w:r>
        <w:rPr>
          <w:rFonts w:eastAsia="Andale Sans UI"/>
          <w:lang w:val="de-DE" w:eastAsia="ja-JP" w:bidi="fa-IR"/>
        </w:rPr>
        <w:t xml:space="preserve">,  </w:t>
      </w:r>
      <w:proofErr w:type="spellStart"/>
      <w:r>
        <w:rPr>
          <w:rFonts w:eastAsia="Andale Sans UI"/>
          <w:lang w:val="de-DE" w:eastAsia="ja-JP" w:bidi="fa-IR"/>
        </w:rPr>
        <w:t>Находка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Партизанск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Партизанский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Лазовский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Дальнегорск</w:t>
      </w:r>
      <w:proofErr w:type="spellEnd"/>
      <w:r>
        <w:rPr>
          <w:rFonts w:eastAsia="Andale Sans UI"/>
          <w:lang w:val="de-DE" w:eastAsia="ja-JP" w:bidi="fa-IR"/>
        </w:rPr>
        <w:t xml:space="preserve">, г. </w:t>
      </w:r>
      <w:proofErr w:type="spellStart"/>
      <w:r>
        <w:rPr>
          <w:rFonts w:eastAsia="Andale Sans UI"/>
          <w:lang w:val="de-DE" w:eastAsia="ja-JP" w:bidi="fa-IR"/>
        </w:rPr>
        <w:t>Арсеньев</w:t>
      </w:r>
      <w:proofErr w:type="spellEnd"/>
      <w:r>
        <w:rPr>
          <w:rFonts w:eastAsia="Andale Sans UI"/>
          <w:lang w:val="de-DE" w:eastAsia="ja-JP" w:bidi="fa-IR"/>
        </w:rPr>
        <w:t xml:space="preserve">, п. </w:t>
      </w:r>
      <w:proofErr w:type="spellStart"/>
      <w:r>
        <w:rPr>
          <w:rFonts w:eastAsia="Andale Sans UI"/>
          <w:lang w:val="de-DE" w:eastAsia="ja-JP" w:bidi="fa-IR"/>
        </w:rPr>
        <w:t>Кавалерово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Тернейский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Анучинский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 xml:space="preserve">, </w:t>
      </w:r>
      <w:proofErr w:type="spellStart"/>
      <w:r>
        <w:rPr>
          <w:rFonts w:eastAsia="Andale Sans UI"/>
          <w:lang w:val="de-DE" w:eastAsia="ja-JP" w:bidi="fa-IR"/>
        </w:rPr>
        <w:t>Ольгинский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район</w:t>
      </w:r>
      <w:proofErr w:type="spellEnd"/>
      <w:r>
        <w:rPr>
          <w:rFonts w:eastAsia="Andale Sans UI"/>
          <w:lang w:val="de-DE" w:eastAsia="ja-JP" w:bidi="fa-IR"/>
        </w:rPr>
        <w:t>)</w:t>
      </w:r>
      <w:r>
        <w:rPr>
          <w:rFonts w:eastAsia="Andale Sans UI"/>
          <w:lang w:eastAsia="ja-JP" w:bidi="fa-IR"/>
        </w:rPr>
        <w:t>.</w:t>
      </w:r>
    </w:p>
    <w:p w:rsidR="002438BC" w:rsidRDefault="002438BC" w:rsidP="002438BC">
      <w:pPr>
        <w:ind w:right="-427"/>
        <w:jc w:val="both"/>
        <w:rPr>
          <w:rFonts w:eastAsia="Andale Sans UI"/>
          <w:b/>
          <w:bCs/>
          <w:lang w:val="de-DE" w:eastAsia="ja-JP" w:bidi="fa-IR"/>
        </w:rPr>
      </w:pPr>
    </w:p>
    <w:p w:rsidR="002438BC" w:rsidRDefault="002438BC" w:rsidP="002438BC">
      <w:pPr>
        <w:ind w:right="-427"/>
        <w:jc w:val="both"/>
        <w:rPr>
          <w:rFonts w:ascii="Arial" w:eastAsia="Lucida Sans Unicode" w:hAnsi="Arial"/>
          <w:lang w:eastAsia="ru-RU"/>
        </w:rPr>
      </w:pPr>
      <w:proofErr w:type="spellStart"/>
      <w:r>
        <w:rPr>
          <w:rFonts w:eastAsia="Andale Sans UI"/>
          <w:b/>
          <w:bCs/>
          <w:lang w:val="de-DE" w:eastAsia="ja-JP" w:bidi="fa-IR"/>
        </w:rPr>
        <w:t>Поставка</w:t>
      </w:r>
      <w:proofErr w:type="spellEnd"/>
      <w:r>
        <w:rPr>
          <w:rFonts w:eastAsia="Andale Sans UI"/>
          <w:b/>
          <w:bCs/>
          <w:lang w:val="de-DE" w:eastAsia="ja-JP" w:bidi="fa-IR"/>
        </w:rPr>
        <w:t xml:space="preserve"> </w:t>
      </w:r>
      <w:proofErr w:type="spellStart"/>
      <w:r>
        <w:rPr>
          <w:rFonts w:eastAsia="Andale Sans UI"/>
          <w:b/>
          <w:bCs/>
          <w:lang w:val="de-DE" w:eastAsia="ja-JP" w:bidi="fa-IR"/>
        </w:rPr>
        <w:t>товара</w:t>
      </w:r>
      <w:proofErr w:type="spellEnd"/>
      <w:r>
        <w:rPr>
          <w:rFonts w:eastAsia="Andale Sans UI"/>
          <w:b/>
          <w:bCs/>
          <w:lang w:val="de-DE" w:eastAsia="ja-JP" w:bidi="fa-IR"/>
        </w:rPr>
        <w:t xml:space="preserve"> </w:t>
      </w:r>
      <w:proofErr w:type="spellStart"/>
      <w:r>
        <w:rPr>
          <w:rFonts w:eastAsia="Andale Sans UI"/>
          <w:b/>
          <w:bCs/>
          <w:lang w:val="de-DE" w:eastAsia="ja-JP" w:bidi="fa-IR"/>
        </w:rPr>
        <w:t>Получателям</w:t>
      </w:r>
      <w:proofErr w:type="spellEnd"/>
      <w:r>
        <w:rPr>
          <w:rFonts w:eastAsia="Andale Sans UI"/>
          <w:b/>
          <w:bCs/>
          <w:lang w:eastAsia="ja-JP" w:bidi="fa-IR"/>
        </w:rPr>
        <w:t>:</w:t>
      </w:r>
      <w:r>
        <w:rPr>
          <w:rFonts w:eastAsia="Andale Sans UI"/>
          <w:b/>
          <w:bCs/>
          <w:lang w:val="de-DE" w:eastAsia="ja-JP" w:bidi="fa-IR"/>
        </w:rPr>
        <w:t xml:space="preserve"> </w:t>
      </w:r>
      <w:r>
        <w:rPr>
          <w:rFonts w:eastAsia="Andale Sans UI"/>
          <w:lang w:val="de-DE" w:eastAsia="ja-JP" w:bidi="fa-IR"/>
        </w:rPr>
        <w:t xml:space="preserve">с </w:t>
      </w:r>
      <w:proofErr w:type="spellStart"/>
      <w:r>
        <w:rPr>
          <w:rFonts w:eastAsia="Andale Sans UI"/>
          <w:lang w:val="de-DE" w:eastAsia="ja-JP" w:bidi="fa-IR"/>
        </w:rPr>
        <w:t>даты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подписания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proofErr w:type="spellStart"/>
      <w:r>
        <w:rPr>
          <w:rFonts w:eastAsia="Andale Sans UI"/>
          <w:lang w:val="de-DE" w:eastAsia="ja-JP" w:bidi="fa-IR"/>
        </w:rPr>
        <w:t>Контракта</w:t>
      </w:r>
      <w:proofErr w:type="spellEnd"/>
      <w:r>
        <w:rPr>
          <w:rFonts w:eastAsia="Andale Sans UI"/>
          <w:lang w:val="de-DE" w:eastAsia="ja-JP" w:bidi="fa-IR"/>
        </w:rPr>
        <w:t xml:space="preserve"> </w:t>
      </w:r>
      <w:r>
        <w:t>до 01 ноября 2020 должно быть поставлено - 100% Товара.</w:t>
      </w:r>
    </w:p>
    <w:p w:rsidR="002438BC" w:rsidRPr="00206568" w:rsidRDefault="002438BC" w:rsidP="002438BC">
      <w:pPr>
        <w:keepNext/>
        <w:jc w:val="center"/>
        <w:rPr>
          <w:rFonts w:eastAsia="Lucida Sans Unicode"/>
          <w:color w:val="000000"/>
          <w:kern w:val="1"/>
          <w:lang w:eastAsia="en-US" w:bidi="en-US"/>
        </w:rPr>
      </w:pPr>
      <w:bookmarkStart w:id="0" w:name="_GoBack"/>
      <w:bookmarkEnd w:id="0"/>
    </w:p>
    <w:sectPr w:rsidR="002438BC" w:rsidRPr="0020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BC"/>
    <w:rsid w:val="001F1E46"/>
    <w:rsid w:val="002438BC"/>
    <w:rsid w:val="002575AB"/>
    <w:rsid w:val="004D03FE"/>
    <w:rsid w:val="00C6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64A96-7FAB-4250-9030-A33693E3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38B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ConsPlusNormal">
    <w:name w:val="ConsPlusNormal"/>
    <w:rsid w:val="002438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Клавдия Ивановна</dc:creator>
  <cp:keywords/>
  <dc:description/>
  <cp:lastModifiedBy>Березнюк Александр Сергеевич</cp:lastModifiedBy>
  <cp:revision>3</cp:revision>
  <dcterms:created xsi:type="dcterms:W3CDTF">2020-08-11T04:28:00Z</dcterms:created>
  <dcterms:modified xsi:type="dcterms:W3CDTF">2020-08-12T06:22:00Z</dcterms:modified>
</cp:coreProperties>
</file>