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F8" w:rsidRPr="008419F8" w:rsidRDefault="008419F8" w:rsidP="008419F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8419F8" w:rsidRPr="008419F8" w:rsidRDefault="008419F8" w:rsidP="008419F8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419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Выполнение работ  по  изготовлению  корсетов полужесткой фиксации, </w:t>
      </w:r>
      <w:proofErr w:type="spellStart"/>
      <w:r w:rsidRPr="008419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реклинаторов</w:t>
      </w:r>
      <w:proofErr w:type="spellEnd"/>
      <w:r w:rsidRPr="008419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для обеспечения инвалидов в 2021 году.</w:t>
      </w:r>
    </w:p>
    <w:p w:rsidR="008419F8" w:rsidRPr="008419F8" w:rsidRDefault="008419F8" w:rsidP="008419F8">
      <w:pPr>
        <w:widowControl w:val="0"/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</w:pP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качеству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техническим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характеристикам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их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безопасности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результатам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и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иные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показатели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связанные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с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определением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соответствия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выполняемых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потребностям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государственного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заказчика</w:t>
      </w:r>
      <w:proofErr w:type="spellEnd"/>
      <w:r w:rsidRPr="008419F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:</w:t>
      </w:r>
    </w:p>
    <w:p w:rsidR="008419F8" w:rsidRPr="008419F8" w:rsidRDefault="008419F8" w:rsidP="008419F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lang w:eastAsia="ja-JP" w:bidi="fa-IR"/>
        </w:rPr>
      </w:pPr>
      <w:proofErr w:type="spellStart"/>
      <w:r w:rsidRPr="008419F8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Общие</w:t>
      </w:r>
      <w:proofErr w:type="spellEnd"/>
      <w:r w:rsidRPr="008419F8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технические</w:t>
      </w:r>
      <w:proofErr w:type="spellEnd"/>
      <w:r w:rsidRPr="008419F8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характеристики</w:t>
      </w:r>
      <w:proofErr w:type="spellEnd"/>
      <w:r w:rsidRPr="008419F8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выполняемых</w:t>
      </w:r>
      <w:proofErr w:type="spellEnd"/>
      <w:r w:rsidRPr="008419F8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работ</w:t>
      </w:r>
      <w:proofErr w:type="spellEnd"/>
      <w:r w:rsidRPr="008419F8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:</w:t>
      </w:r>
    </w:p>
    <w:p w:rsidR="008419F8" w:rsidRPr="008419F8" w:rsidRDefault="008419F8" w:rsidP="008419F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Выполнение работ по </w:t>
      </w:r>
      <w:proofErr w:type="spell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ортезированию</w:t>
      </w:r>
      <w:proofErr w:type="spell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должно соответствовать назначениям </w:t>
      </w:r>
      <w:proofErr w:type="gram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медико-социальной</w:t>
      </w:r>
      <w:proofErr w:type="gram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экспертизы, а также врача. При выполнении работ по </w:t>
      </w:r>
      <w:proofErr w:type="spell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ортезированию</w:t>
      </w:r>
      <w:proofErr w:type="spell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должен быть осуществлен контроль при примерке и обеспечении изделиями. Инвалиды не должны испытывать болей, избыточного давления, обуславливающих нарушения кровообращения. </w:t>
      </w:r>
    </w:p>
    <w:p w:rsidR="008419F8" w:rsidRPr="008419F8" w:rsidRDefault="008419F8" w:rsidP="008419F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8419F8" w:rsidRPr="008419F8" w:rsidRDefault="008419F8" w:rsidP="008419F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Материалы  изделий,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10993-1-2011  «Изделия медицинские. Оценка биологического действия медицинских изделий. Часть 1. Оценка и исследования», ГОСТ ISO 10993-5-2011  « Изделия медицинские. Оценка биологического действия медицинских изделий. Часть 5. Исследования на </w:t>
      </w:r>
      <w:proofErr w:type="spell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цитоксичность</w:t>
      </w:r>
      <w:proofErr w:type="spell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: методы </w:t>
      </w:r>
      <w:proofErr w:type="spell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in</w:t>
      </w:r>
      <w:proofErr w:type="spell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</w:t>
      </w:r>
      <w:proofErr w:type="spell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virto</w:t>
      </w:r>
      <w:proofErr w:type="spell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», ГОСТ </w:t>
      </w:r>
      <w:proofErr w:type="gram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Р</w:t>
      </w:r>
      <w:proofErr w:type="gram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ISO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419F8" w:rsidRPr="008419F8" w:rsidRDefault="008419F8" w:rsidP="008419F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Изделия должны отвечать требованиям Государственного стандарта Российской Федерации ГОСТ </w:t>
      </w:r>
      <w:proofErr w:type="gram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Р</w:t>
      </w:r>
      <w:proofErr w:type="gram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Межгосударственному стандарту ГОСТ 29097-2015 «Изделия корсетные. Общие технические условия»,  ГОСТ </w:t>
      </w:r>
      <w:proofErr w:type="gram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Р</w:t>
      </w:r>
      <w:proofErr w:type="gram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51819-2017 «Протезирование и </w:t>
      </w:r>
      <w:proofErr w:type="spell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ортезирование</w:t>
      </w:r>
      <w:proofErr w:type="spell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верхних и нижних конечностей. Термины и определения» Национального стандарта РФ ГОСТ </w:t>
      </w:r>
      <w:proofErr w:type="gram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Р</w:t>
      </w:r>
      <w:proofErr w:type="gram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ИСО 22523-2007 «Протезы конечностей и </w:t>
      </w:r>
      <w:proofErr w:type="spell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ортезы</w:t>
      </w:r>
      <w:proofErr w:type="spell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наружные. Требования и методы испытаний»,  Национального стандарта РФ ГОСТ </w:t>
      </w:r>
      <w:proofErr w:type="gram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Р</w:t>
      </w:r>
      <w:proofErr w:type="gram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8419F8" w:rsidRPr="008419F8" w:rsidRDefault="008419F8" w:rsidP="008419F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Изделия должны изготавливаться в </w:t>
      </w:r>
      <w:proofErr w:type="gram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соответствии</w:t>
      </w:r>
      <w:proofErr w:type="gram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 xml:space="preserve"> с Республиканским стандартом РСФСР 98-86 «Изделия лечебно-бандажные. Общие технические условия», технических описаний и образцов-эталонов, утвержденных в установленном </w:t>
      </w:r>
      <w:proofErr w:type="gramStart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порядке</w:t>
      </w:r>
      <w:proofErr w:type="gramEnd"/>
      <w:r w:rsidRPr="008419F8">
        <w:rPr>
          <w:rFonts w:ascii="Times New Roman" w:eastAsia="Lucida Sans Unicode" w:hAnsi="Times New Roman" w:cs="Times New Roman"/>
          <w:kern w:val="2"/>
          <w:lang w:eastAsia="ru-RU"/>
        </w:rPr>
        <w:t>.</w:t>
      </w:r>
    </w:p>
    <w:p w:rsidR="008419F8" w:rsidRPr="008419F8" w:rsidRDefault="008419F8" w:rsidP="0084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419F8">
        <w:rPr>
          <w:rFonts w:ascii="Times New Roman" w:eastAsia="Lucida Sans Unicode" w:hAnsi="Times New Roman" w:cs="Times New Roman"/>
          <w:b/>
          <w:bCs/>
          <w:lang w:eastAsia="ru-RU"/>
        </w:rPr>
        <w:t xml:space="preserve">Объем и технические характеристики </w:t>
      </w:r>
      <w:r w:rsidRPr="008419F8">
        <w:rPr>
          <w:rFonts w:ascii="Times New Roman" w:eastAsia="Lucida Sans Unicode" w:hAnsi="Times New Roman" w:cs="Times New Roman"/>
          <w:b/>
          <w:lang w:eastAsia="ru-RU"/>
        </w:rPr>
        <w:t xml:space="preserve">выполняемых работ: 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40"/>
        <w:gridCol w:w="2300"/>
        <w:gridCol w:w="6522"/>
        <w:gridCol w:w="852"/>
      </w:tblGrid>
      <w:tr w:rsidR="008419F8" w:rsidRPr="008419F8" w:rsidTr="00F540DD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изделия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Описание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протезно-ортопедического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изделия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функциональной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классификации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</w:tr>
      <w:tr w:rsidR="008419F8" w:rsidRPr="008419F8" w:rsidTr="00F540DD">
        <w:trPr>
          <w:trHeight w:val="7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Корсет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полужесткой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фиксации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грудопоясничный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Корсет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грудопоясничный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отдел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фиксирующий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изготовление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обмерам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Обеспечивает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стабилизацию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разгрузку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грудопоясничного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отдела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Пояс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корсета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усилен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менее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чем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двумя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моделируемыми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ребрами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жесткости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Содержит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менее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двух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двойных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эластичных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лент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усиления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Элементы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фиксации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основе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застежки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Назначение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–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лечебно-профилактическое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индивидуальным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обмерам</w:t>
            </w:r>
            <w:proofErr w:type="spellEnd"/>
            <w:proofErr w:type="gram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..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  <w:tr w:rsidR="008419F8" w:rsidRPr="008419F8" w:rsidTr="00F540DD">
        <w:trPr>
          <w:trHeight w:val="7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Корсет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полужесткой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фиксации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поясничный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отдел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Корсет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поясничный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отдел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фиксирующий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изготовление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обмерам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Обеспечивает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разгрузку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поясничного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отдела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Пояс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корсета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усилен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менее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чем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двумя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моделируемыми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ребрами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жесткости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Содержит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менее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двух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двойных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эластичных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лент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усиления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Элементы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фиксации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основе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застежки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Назначение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–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лечебно-профилактическое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индивидуальным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обмерам</w:t>
            </w:r>
            <w:proofErr w:type="spellEnd"/>
            <w:proofErr w:type="gram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..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  <w:tr w:rsidR="008419F8" w:rsidRPr="008419F8" w:rsidTr="00F540DD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Корсет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полужесткой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фиксации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пояснично-крестцовый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lastRenderedPageBreak/>
              <w:t>отдел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  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lastRenderedPageBreak/>
              <w:t>Корсет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обеспечивает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фиксацию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разгрузку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пояснично-крестцового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отдела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изготовление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обмерам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Пояс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корсета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усилен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ребрами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жесткости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обеспечивающими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жесткость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изделия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содержит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lastRenderedPageBreak/>
              <w:t>менее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двух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эластичных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лент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усиления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Элементы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фиксации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основе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застежки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Назначение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–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лечебно-профилактическое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индивидуальным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обмерам</w:t>
            </w:r>
            <w:proofErr w:type="spellEnd"/>
            <w:proofErr w:type="gram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..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lastRenderedPageBreak/>
              <w:t>штука</w:t>
            </w:r>
            <w:proofErr w:type="spellEnd"/>
          </w:p>
        </w:tc>
      </w:tr>
      <w:tr w:rsidR="008419F8" w:rsidRPr="008419F8" w:rsidTr="00F540DD">
        <w:trPr>
          <w:trHeight w:val="2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lastRenderedPageBreak/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Реклинатор-корректор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осанки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грудной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отдел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Реклинатор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грудной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отдел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позвоночника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поддерживающий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эластичные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материалы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назначение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–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лечебно-профилактическое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индивидуальным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обмерам</w:t>
            </w:r>
            <w:proofErr w:type="spellEnd"/>
            <w:r w:rsidRPr="008419F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F8" w:rsidRPr="008419F8" w:rsidRDefault="008419F8" w:rsidP="008419F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419F8"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val="de-DE" w:eastAsia="fa-IR" w:bidi="fa-IR"/>
              </w:rPr>
              <w:t>штука</w:t>
            </w:r>
            <w:proofErr w:type="spellEnd"/>
          </w:p>
        </w:tc>
      </w:tr>
    </w:tbl>
    <w:p w:rsidR="008419F8" w:rsidRPr="008419F8" w:rsidRDefault="008419F8" w:rsidP="008419F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Гарантийный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срок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устанавливается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дня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выдачи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готового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изделия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и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его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продолжительность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по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каждому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конкретному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виду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изделия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должна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соответствовать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требованиям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ГОСТа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или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ТУ и  в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соответствии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с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Приказом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Министерства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социального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обеспечения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РФСР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от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15.02.1991 г. № 35 «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утверждении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инструкции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«О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порядке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обеспечения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населения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протезно-ортопедическими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изделиями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,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средствами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передвижения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и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средствами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облегчающими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жизнь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инвалидов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» </w:t>
      </w:r>
      <w:proofErr w:type="spellStart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составляет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2 </w:t>
      </w:r>
      <w:r w:rsidRPr="008419F8">
        <w:rPr>
          <w:rFonts w:ascii="Times New Roman" w:eastAsia="Andale Sans UI" w:hAnsi="Times New Roman" w:cs="Tahoma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Andale Sans UI" w:hAnsi="Times New Roman" w:cs="Tahoma"/>
          <w:color w:val="000000"/>
          <w:spacing w:val="-2"/>
          <w:kern w:val="1"/>
          <w:lang w:val="de-DE" w:eastAsia="fa-IR" w:bidi="fa-IR"/>
        </w:rPr>
        <w:t>месяца</w:t>
      </w:r>
      <w:proofErr w:type="spellEnd"/>
      <w:r w:rsidRPr="008419F8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.</w:t>
      </w:r>
    </w:p>
    <w:p w:rsidR="008419F8" w:rsidRPr="008419F8" w:rsidRDefault="008419F8" w:rsidP="008419F8">
      <w:pPr>
        <w:widowControl w:val="0"/>
        <w:tabs>
          <w:tab w:val="left" w:pos="3405"/>
        </w:tabs>
        <w:suppressAutoHyphens/>
        <w:spacing w:after="0" w:line="100" w:lineRule="atLeast"/>
        <w:ind w:firstLine="6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В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течение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гарантийного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срока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предприятие-изготовитель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обязано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производить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замену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ремонт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изделия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бесплатно</w:t>
      </w:r>
      <w:proofErr w:type="spellEnd"/>
      <w:r w:rsidRPr="008419F8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8419F8" w:rsidRPr="008419F8" w:rsidRDefault="008419F8" w:rsidP="00841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8419F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Выполнение работ осуществляется</w:t>
      </w:r>
      <w:r w:rsidRPr="008419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 xml:space="preserve">по индивидуальным заказам Получателей по месту изготовления изделий. </w:t>
      </w:r>
    </w:p>
    <w:p w:rsidR="008419F8" w:rsidRPr="008419F8" w:rsidRDefault="008419F8" w:rsidP="008419F8">
      <w:pPr>
        <w:widowControl w:val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419F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Обеспечение и выдача изделий</w:t>
      </w:r>
      <w:r w:rsidRPr="008419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 xml:space="preserve">Получателям осуществляется на территории Псковской области, </w:t>
      </w:r>
    </w:p>
    <w:p w:rsidR="008419F8" w:rsidRPr="008419F8" w:rsidRDefault="008419F8" w:rsidP="008419F8">
      <w:pPr>
        <w:widowControl w:val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419F8">
        <w:rPr>
          <w:rFonts w:ascii="Times New Roman" w:eastAsia="Times New Roman" w:hAnsi="Times New Roman" w:cs="Times New Roman"/>
          <w:u w:val="single"/>
          <w:lang w:eastAsia="ru-RU"/>
        </w:rPr>
        <w:t>Начало срока выполнения работ:</w:t>
      </w:r>
      <w:r w:rsidRPr="008419F8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>день предоставления Получателем Исполнителю Направления или получения Исполнителем Реестра Получателей.</w:t>
      </w:r>
    </w:p>
    <w:p w:rsidR="008419F8" w:rsidRPr="008419F8" w:rsidRDefault="008419F8" w:rsidP="008419F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419F8">
        <w:rPr>
          <w:rFonts w:ascii="Times New Roman" w:eastAsia="Times New Roman" w:hAnsi="Times New Roman" w:cs="Times New Roman"/>
          <w:u w:val="single"/>
          <w:lang w:eastAsia="ru-RU"/>
        </w:rPr>
        <w:t>Окончание срока выполнения работ: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 xml:space="preserve"> не позднее </w:t>
      </w:r>
      <w:r w:rsidRPr="008419F8">
        <w:rPr>
          <w:rFonts w:ascii="Times New Roman" w:eastAsia="Times New Roman" w:hAnsi="Times New Roman" w:cs="Times New Roman"/>
          <w:b/>
          <w:color w:val="FF0000"/>
          <w:lang w:eastAsia="ru-RU"/>
        </w:rPr>
        <w:t>17.09.2021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 xml:space="preserve"> г</w:t>
      </w:r>
      <w:r w:rsidRPr="008419F8">
        <w:rPr>
          <w:rFonts w:ascii="Times New Roman" w:eastAsia="Times New Roman" w:hAnsi="Times New Roman" w:cs="Times New Roman"/>
          <w:b/>
          <w:color w:val="FF0000"/>
          <w:lang w:eastAsia="ru-RU"/>
        </w:rPr>
        <w:t>ода включительно.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8419F8" w:rsidRPr="008419F8" w:rsidRDefault="008419F8" w:rsidP="008419F8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8419F8">
        <w:rPr>
          <w:rFonts w:ascii="Times New Roman" w:eastAsia="Times New Roman" w:hAnsi="Times New Roman" w:cs="Times New Roman"/>
          <w:u w:val="single"/>
          <w:lang w:eastAsia="ru-RU"/>
        </w:rPr>
        <w:t>Срок действия Контракта:</w:t>
      </w:r>
      <w:r w:rsidRPr="008419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 xml:space="preserve">с даты заключения Контракта </w:t>
      </w:r>
      <w:r w:rsidRPr="008419F8">
        <w:rPr>
          <w:rFonts w:ascii="Times New Roman" w:eastAsia="Times New Roman" w:hAnsi="Times New Roman" w:cs="Times New Roman"/>
          <w:b/>
          <w:color w:val="FF0000"/>
          <w:lang w:eastAsia="ru-RU"/>
        </w:rPr>
        <w:t>до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419F8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30.09.2021 года </w:t>
      </w:r>
      <w:proofErr w:type="spellStart"/>
      <w:r w:rsidRPr="008419F8">
        <w:rPr>
          <w:rFonts w:ascii="Times New Roman" w:eastAsia="Times New Roman" w:hAnsi="Times New Roman" w:cs="Times New Roman"/>
          <w:b/>
          <w:color w:val="FF0000"/>
          <w:lang w:eastAsia="ru-RU"/>
        </w:rPr>
        <w:t>включительно</w:t>
      </w:r>
      <w:proofErr w:type="gramStart"/>
      <w:r w:rsidRPr="008419F8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>п</w:t>
      </w:r>
      <w:proofErr w:type="gramEnd"/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>о</w:t>
      </w:r>
      <w:proofErr w:type="spellEnd"/>
      <w:r w:rsidRPr="008419F8">
        <w:rPr>
          <w:rFonts w:ascii="Times New Roman" w:eastAsia="Times New Roman" w:hAnsi="Times New Roman" w:cs="Times New Roman"/>
          <w:color w:val="FF0000"/>
          <w:lang w:eastAsia="ru-RU"/>
        </w:rPr>
        <w:t xml:space="preserve"> месту нахождения и/или жительства Получателя либо по месту нахождения пункта выдачи.</w:t>
      </w:r>
    </w:p>
    <w:p w:rsidR="006115C6" w:rsidRDefault="006115C6">
      <w:bookmarkStart w:id="0" w:name="_GoBack"/>
      <w:bookmarkEnd w:id="0"/>
    </w:p>
    <w:sectPr w:rsidR="0061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tarSymbol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C9"/>
    <w:rsid w:val="006115C6"/>
    <w:rsid w:val="008419F8"/>
    <w:rsid w:val="00B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2020-11-16T06:56:00Z</dcterms:created>
  <dcterms:modified xsi:type="dcterms:W3CDTF">2020-11-16T06:56:00Z</dcterms:modified>
</cp:coreProperties>
</file>