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16" w:rsidRPr="00735CD6" w:rsidRDefault="00FF28A5" w:rsidP="00FE5F0A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ТЕХНИЧЕСКОЕ ЗАДАНИЕ</w:t>
      </w:r>
    </w:p>
    <w:p w:rsidR="002C5516" w:rsidRPr="00735CD6" w:rsidRDefault="00FF28A5" w:rsidP="00FE5F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35CD6">
        <w:rPr>
          <w:rFonts w:ascii="Times New Roman" w:hAnsi="Times New Roman"/>
          <w:b/>
          <w:bCs/>
          <w:sz w:val="28"/>
        </w:rPr>
        <w:t>выполнение работ по изготовлению ортопедической обуви для обеспечения детей-инвалидов в 2021 году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 w:cs="Times New Roman"/>
          <w:b/>
          <w:bCs/>
          <w:sz w:val="28"/>
          <w:szCs w:val="28"/>
        </w:rPr>
        <w:t>Предмет: выполнение работ по изгото</w:t>
      </w:r>
      <w:r w:rsidRPr="00735CD6">
        <w:rPr>
          <w:rFonts w:ascii="Times New Roman" w:hAnsi="Times New Roman" w:cs="Times New Roman"/>
          <w:b/>
          <w:bCs/>
          <w:sz w:val="28"/>
          <w:szCs w:val="28"/>
        </w:rPr>
        <w:t>влению ортопедической обуви для обеспечения детей-инвалидов в 2021 году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tabs>
          <w:tab w:val="left" w:pos="221"/>
        </w:tabs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работ: </w:t>
      </w:r>
      <w:r w:rsidRPr="00735CD6">
        <w:rPr>
          <w:rFonts w:ascii="Times New Roman" w:hAnsi="Times New Roman" w:cs="Times New Roman"/>
          <w:sz w:val="28"/>
          <w:szCs w:val="28"/>
        </w:rPr>
        <w:t>до 05.08.2021г.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 w:rsidRPr="00735CD6">
        <w:rPr>
          <w:rFonts w:ascii="Times New Roman" w:hAnsi="Times New Roman" w:cs="Times New Roman"/>
          <w:sz w:val="28"/>
          <w:szCs w:val="28"/>
          <w:shd w:val="clear" w:color="auto" w:fill="FFFFFF"/>
        </w:rPr>
        <w:t>до 30.09.2021г.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 w:cs="Times New Roman"/>
          <w:b/>
          <w:bCs/>
          <w:sz w:val="28"/>
          <w:szCs w:val="28"/>
        </w:rPr>
        <w:t xml:space="preserve">Место выполнения работ: </w:t>
      </w:r>
      <w:r w:rsidRPr="00735CD6">
        <w:rPr>
          <w:rFonts w:ascii="Times New Roman" w:eastAsia="Calibri" w:hAnsi="Times New Roman" w:cs="Times New Roman"/>
          <w:sz w:val="28"/>
          <w:szCs w:val="28"/>
        </w:rPr>
        <w:t xml:space="preserve">г. Астрахань и Астраханская область (передача готового изделия </w:t>
      </w:r>
      <w:r w:rsidRPr="00735CD6">
        <w:rPr>
          <w:rFonts w:ascii="Times New Roman" w:eastAsia="Calibri" w:hAnsi="Times New Roman" w:cs="Times New Roman"/>
          <w:sz w:val="28"/>
          <w:szCs w:val="28"/>
        </w:rPr>
        <w:t>осуществляется по месту проживания Получателя или по месту нахождения Исполнителя. 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</w:t>
      </w:r>
      <w:r w:rsidRPr="00735CD6">
        <w:rPr>
          <w:rFonts w:ascii="Times New Roman" w:eastAsia="Calibri" w:hAnsi="Times New Roman" w:cs="Times New Roman"/>
          <w:sz w:val="28"/>
          <w:szCs w:val="28"/>
        </w:rPr>
        <w:t xml:space="preserve">тветствии с </w:t>
      </w:r>
      <w:hyperlink r:id="rId6" w:history="1">
        <w:r w:rsidRPr="00735CD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приказом</w:t>
        </w:r>
      </w:hyperlink>
      <w:r w:rsidRPr="00735CD6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</w:t>
      </w:r>
      <w:r w:rsidRPr="00735CD6">
        <w:rPr>
          <w:rFonts w:ascii="Times New Roman" w:eastAsia="Calibri" w:hAnsi="Times New Roman" w:cs="Times New Roman"/>
          <w:sz w:val="28"/>
          <w:szCs w:val="28"/>
        </w:rPr>
        <w:t xml:space="preserve">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</w:t>
      </w:r>
      <w:r w:rsidRPr="00735CD6">
        <w:rPr>
          <w:rFonts w:ascii="Times New Roman" w:eastAsia="Calibri" w:hAnsi="Times New Roman" w:cs="Times New Roman"/>
          <w:sz w:val="28"/>
          <w:szCs w:val="28"/>
        </w:rPr>
        <w:t>график работы пунктов выдачи Изделия, включая работу в один из выходных дней. Пункты выдачи Изделия и склад Исполнителя должны быть оснащены видеокамерами).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 w:rsidR="00FB405D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</w:t>
      </w:r>
      <w:r w:rsidR="00FE5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получения Заказчиком </w:t>
      </w:r>
      <w:r w:rsidRPr="00735CD6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приема-передачи Изделий и Р</w:t>
      </w:r>
      <w:r w:rsidRPr="00735CD6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еестров Получателей, счета, счета-фактуры. После произведенных расчетов стороны подписывают акт сверки взаиморасчетов.</w:t>
      </w:r>
    </w:p>
    <w:p w:rsidR="00FB405D" w:rsidRDefault="00FB405D" w:rsidP="00FE5F0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/>
          <w:sz w:val="28"/>
          <w:szCs w:val="28"/>
        </w:rPr>
        <w:t xml:space="preserve">Описание работы: </w:t>
      </w:r>
      <w:r w:rsidRPr="00735CD6">
        <w:rPr>
          <w:rFonts w:ascii="Times New Roman" w:hAnsi="Times New Roman"/>
          <w:b/>
          <w:bCs/>
          <w:i/>
          <w:iCs/>
          <w:sz w:val="28"/>
          <w:szCs w:val="28"/>
        </w:rPr>
        <w:t xml:space="preserve">«Выполнение </w:t>
      </w:r>
      <w:r w:rsidRPr="00735C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 по изготовлению ортопедической обуви для обеспе</w:t>
      </w:r>
      <w:r w:rsidRPr="00735C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чения детей-инвалидов в 2021 году»</w:t>
      </w:r>
    </w:p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Количество: 449</w:t>
      </w:r>
      <w:r w:rsidRPr="00735C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7433"/>
      </w:tblGrid>
      <w:tr w:rsidR="002C5516" w:rsidRPr="00735CD6" w:rsidTr="00FB405D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516" w:rsidRPr="00735CD6" w:rsidRDefault="00FF28A5" w:rsidP="00FE5F0A">
            <w:pPr>
              <w:pStyle w:val="Standard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закупки</w:t>
            </w:r>
          </w:p>
        </w:tc>
        <w:tc>
          <w:tcPr>
            <w:tcW w:w="7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516" w:rsidRPr="00735CD6" w:rsidRDefault="00FF28A5" w:rsidP="00FE5F0A">
            <w:pPr>
              <w:pStyle w:val="Standard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Описание функциональных и технических характеристик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Ортопедическая обувь сложная </w:t>
            </w: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без утепленной подкладки</w:t>
            </w:r>
          </w:p>
          <w:p w:rsidR="002C5516" w:rsidRPr="00735CD6" w:rsidRDefault="00FF28A5" w:rsidP="00FE5F0A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Обувь должна быть изготовлена по индивидуальным размерам, обмерам стопы, по индивидуальным колодкам, на основе слепка. Обувь предназначена для детей с деформациями и дефектами стоп для восстановления и компенсации </w:t>
            </w: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статико-динамической функции при выраженных анатомических изменениях стоп.</w:t>
            </w:r>
          </w:p>
          <w:p w:rsidR="002C551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Ботинки, полуботинки, туфли, детские. Наружные детали верха обуви из кожи натуральной. Внутренние детали верха обуви из кож натуральных для подкладки обуви, тканей для подкладки обу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ая; метод крепления подошвы — клеевой. Крепление на нижней конечности при помощи шнурка, блочек,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на «слоновую» стопу; специальные жесткие детали: союзка жесткая, полужесткая, берец жесткий односторонний (наружный, внутренний), двусторонний, круговой, задний жесткий берец, задник с укореченными, удлиненными крыльями, подносок удлиненный, укороченный, с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притяжной ремень, манжетка, петля;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специальные металлические детали: металлическая пластина для ортопедической обуви, шины стальные, планшетки корсетные; межстелечные слои: выкладка сводов (наружного и внутреннего), выкладка внутреннего свода, косок, супинатор, пронатор, пробка, специальные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детали низа: каблук, подошва особой формы; прочие специальные детали: искусственные стопы, передний отдел стопы, искусственный носок; межстелечный слой из плиты прессованной, из пробковой крошки, пластин резиновой пористой, пенополиэтилена, пеносэвилена,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изолона, медиорта, вкладные элементы; жесткие детали из кожи для низа обуви, кожи шорно — седельной; мягкие детали из кож для верха обуви, кожи сыромятной юфти шорно-седельной. Изготовление на колодке по обмерам, слепку. Назначение:  на сложно деформирован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ную стопу (конскую, эквиноварусную, половарусную, при косолапости, плосковальгусная деформация); при культях стопы, при разной длине следа;  на укорочение от 3 до 20 см; с двойным следом; на слоновую стопу, акромегалию; при сосудистых заболеваниях. Вид, на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значение и конструкция обуви определяется врачом-ортопедом*.</w:t>
            </w:r>
          </w:p>
          <w:p w:rsidR="00FB405D" w:rsidRPr="00735CD6" w:rsidRDefault="00FB405D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пар — 200.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утепленной подкладке 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Standard"/>
              <w:suppressAutoHyphens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Обувь должна быть изготовлена по индивидуальным размерам, обмерам стопы, по индивидуальным колодкам, на основе </w:t>
            </w:r>
            <w:r w:rsidRPr="00735C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слепка. Обувь предназначена для детей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2C551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Ботинки, полуботинки, туфли, детские. Наружные детали верха обуви из кожи нату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одошва формованная; метод крепления подошвы — клеевой. Крепление на нижней конечности при помощи шнурка, блочек, крючков, пряжек, резинок, застежки «контакт». Обувь имеет не менее двух специальных деталей, косок не менее 30 мм; допускается обувь без специа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льных деталей  на «слонувую» стопу; специальные жесткие детали: союзка жесткая, полусоюзка жесткая, берец жесткий односторонний (наружный, внутренний), двусторонний, круговой, задний жесткий берец, задник с укореченными, удлиненными крыльями, подносок удли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притяжной рем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ень, манжетка, петля; специальные металлические детали: металлическая пластина для ортопедисекой обуви, шины стальные, планшетки корсетные; межстелечные слои: выкладка сводов (наружного и внутреннего), выкладка внутреннего свода, косок, супинатор, пронатор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 межстелечный слой из плиты прессованной из пробковой крошки, пластин резины пористой, пенополиэтилен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а, пеносэвилена, изолона, медиорта, вкладные элементы; жесткие детали из кожи для низа обуви, кожи шорно - седельной; мягкие детали из кож для верха обуви, кожи сыромятной юфти шорно-седельной. Изготовление на колодке по обмерам, по слепку. Назначение: на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сложно- деформированную стопу (конскую, эквиноварусную, половарусную, при косолапости, плосковальгусная деформация); при культях стопы, при различной длине следа;  на укорочение от 3 до 20 см; с двойным следом; на слоновую стопу и акромегалию, при сосудист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ых заболеваниях. Вид, назначение и конструкция обуви определяется врачом ортопедом*.</w:t>
            </w:r>
          </w:p>
          <w:p w:rsidR="00FB405D" w:rsidRPr="00735CD6" w:rsidRDefault="00FB405D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Количество пар — </w:t>
            </w:r>
            <w:r w:rsidR="00A70391" w:rsidRPr="00735C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</w:t>
            </w:r>
            <w:r w:rsidRPr="00735C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Обувь ортопедическая, изготовленная индивидуально</w:t>
            </w:r>
            <w:r w:rsidRPr="00735CD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ожная на аппарат без утепленной подкладки (пара) - ботинки, полуботинки, туфли, детские. Верх натуральная кожа. Подкладка: кожа подкладочная, обувные текстильные материалы, мех натуральный, сукно траспира. Застежка: шнурки, лента велькро, пряжки. Подошва м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икропористая резина, материал ТЭП. Межстелечный слой: натуральная кожа, пробковый агломерат, пористые материалы. Специальные детали с вкладными изделиями: жесткий клапан, искусственный носок, клин, широкая металлическая пластина, межстелечный слой удержива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ет стопу в правильном положении, разгружают болезненные участки на подошвенной поверхности стопы, облегчают перекат при ходьбе. Обувь изготавливается по индивидуальной колодке, обычной колодке, по обмерам с подгонкой колодки, индивидуальному слепку. Ортопе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дическая обувь на аппараты предназначена для инвалидов, пользующихся аппаратами нижних конечностей.</w:t>
            </w:r>
          </w:p>
          <w:p w:rsidR="002C5516" w:rsidRPr="00735CD6" w:rsidRDefault="002C5516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35.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Обувь ортопедическая, изготовленная индивидуально</w:t>
            </w:r>
            <w:r w:rsidRPr="00735CD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-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сложная на аппарат на утепленной подкладке (пара) - ботинки, полуботинки, туфли, детские. Верх натуральная кожа. Подкладка: кожа подкладочная, обувные текстильные материалы, мех натуральный, сукно траспира. Застежка: шнурки, лента в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елькро, пряжки. Подошва микропористая резина, материал ТЭП. Межстелечный слой: натуральная кожа, пробковый агломерат, пористые материалы. Специальные детали с вкладными изделиями: жесткий клапан, искусственный носок, клин, широкая металлическая пластина, м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ежстелечный слой удерживает стопу в правильном положении, разгружают болезненные участки на подошвенной поверхности стопы, облегчают перекат при ходьбе. Обувь изготавливается по индивидуальной колодке, обычной колодке, по обмерам с подгонкой колодки, индив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идуальному слепку. Ортопедическая обувь на аппараты предназначена для инвалидов, пользующихся аппаратами нижних конечностей.</w:t>
            </w:r>
          </w:p>
          <w:p w:rsidR="002C5516" w:rsidRPr="00735CD6" w:rsidRDefault="002C5516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30.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</w:t>
            </w:r>
            <w:r w:rsidR="00FE5F0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ртопедическая обувь малосложная</w:t>
            </w: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без утепленной подкладки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Изделие должно отвечать следующим требованиям: 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На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значается для пациентов, имеющих малосложные деформации стоп. Обувь не должна нарушать биомеханических показателей ходьбы пользователя и не  препятствовать нормальному функционированию стоп. Обувь должна свободно надеваться и плотно закрепляться на ноге. С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оединение деталей заготовок не должно образовывать  утолщений, и не оказывать давления на стопы.</w:t>
            </w:r>
          </w:p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Конструктивные особенности изделия :</w:t>
            </w:r>
          </w:p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Изготавливается по индивидуальному гипсовому позитиву (слепку). Материал верха: замша; кожа натуральная; нубук. Материал п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одкладки:  кожа подкладочная натуральная; текстильные материалы. Носок искусственный и межстелечный слой: агломерат пробковый; полиуретан.</w:t>
            </w:r>
          </w:p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Материал низа обуви : заготовка ТЭП; подошва формованная максимальной готовности; резина микропористая;  эвапласт. Кр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епление : застежка молния; застежки велкро; пряжки (капки, штрипки); резинки; шнуровка. Тип изделия по назначению : постоянный.</w:t>
            </w:r>
          </w:p>
          <w:p w:rsidR="002C5516" w:rsidRPr="00735CD6" w:rsidRDefault="002C5516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1.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</w:t>
            </w:r>
            <w:r w:rsidR="00FE5F0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топедическая обувь малосложная </w:t>
            </w: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на утепленной подкладке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Изделие должно отвечать следующим требованиям: 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Н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азначается для пациентов, имеющих малосложные деформации стоп. Обувь не должна нарушать биомеханических показателей ходьбы пользователя и не препятствовать нормальному функционированию стоп. Обувь должна свободно надеваться и плотно закрепляться на ноге. С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оединение деталей заготовок не должно образовывать утолщений, и не оказывать давления на стопы.</w:t>
            </w:r>
          </w:p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Конструктивные особенности изделия :</w:t>
            </w:r>
          </w:p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 xml:space="preserve">Изготавливается: по индивидуальному гипсовому позитиву (слепку); Материал верха обуви: замша; кожа натуральная; нубук. 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Материал подкладки: байка; мех искусственный; мех натуральный; пресс-сукно. Материал низа обуви: заготовка ТЭП; подошва формованная максимальной готовности; резина микропористая; эвапласт. Крепление:  застежка молния; застежки велкро;  пряжки (капки, штрип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ки); резинки;  шнуровка. Тип изделия по назначению : постоянный.</w:t>
            </w:r>
          </w:p>
          <w:p w:rsidR="002C5516" w:rsidRPr="00735CD6" w:rsidRDefault="002C5516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1.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сложная на сохраненную конечность - предназ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начена для передвижения больных и инвалидов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полусоюзка жесткая,  пластина для ортопедической обуви, шины сталь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ные в зависимости от индивидуальных особенностей Получателя. Подносок (удлиненный, укороченный, серповидный),  язычок жесткий, передний жесткий клапан, бочок жесткий в зависимости от индивидуальных особенностей Получателя. Притяжной ремень, тяги,  шнуровка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. Застежка – шнурки, лента типа «велкро»,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исимости от индивидуальных особенностей Получателя. Материал изготовления подклада – кожа подкладочная, обувные текстильные материалы в зависимости от индивидуальных особенностей Получателя. Метод крепления – клеевой, рантовый в зависимости от индивидуальн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ых особенностей Получателя.*</w:t>
            </w: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Обувь на протез без утепленной подкладки - ботинки, полуботинки, туфли, детские. Наружные детали верха обуви из кожи натуральной для верха обуви, допускаются сукно, ткань обувная, дублированные и триплированные обувные материал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ы, войлок обувной, фетр. Внутренние детали верха обуви из кож натуральных для подкладки 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аблук (низкий, средний) из резины каблучной; допускается подошка формованная; метод крепления подошвы — клеевой. Обувь изготавливается зимнего и летнего ассортимента, подошвы летнего назначения используются на основе полиэфируретана и из термопластов с нег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лубоким рисунком на ходовой поверхности. Обувь зимнего ассортимента выпускается на формованной подошве 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, блочек, крючков, пряжек, резинок, застежек «молния», «контакт». Изготовление на колодке по обмерам. Назначение: для лиц, пользующихся протезами нижних конечностей. Вид, назначение и конструкция обуви определяется врачом-ортопедом*.</w:t>
            </w:r>
          </w:p>
          <w:p w:rsidR="002C5516" w:rsidRPr="00735CD6" w:rsidRDefault="002C5516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1.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7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pStyle w:val="Textbody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сложная на сохраненную конечность - предназначена для передвижения больных и инвалидов с деформациями, дефектами, функциональной н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едостаточностью стоп и пользующихся протезами нижних конечностей. Специальные детали – союзка жесткая, полусоюзка жесткая, пластина для ортопедической обуви, шины стальные в зависимости от индивидуальных особенностей Получателя. Подносок (удлиненный, укоро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ченный, серповидный), бочок жесткий. Притяжной ремень, тяги, шнуровка в зависимости от индивидуальных особенностей Получателя. Застежка – шнурки, лента типа «велкро», металлические молнии, пряжки в зависимости от индивидуальных особенностей Получателя. Мат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подклада – мех (натуральный, искусственный, прессукно) в </w:t>
            </w:r>
            <w:r w:rsidRPr="00735CD6">
              <w:rPr>
                <w:rFonts w:ascii="Times New Roman" w:hAnsi="Times New Roman"/>
                <w:color w:val="000000"/>
                <w:sz w:val="26"/>
                <w:szCs w:val="26"/>
              </w:rPr>
              <w:t>зависимости от индивидуальных особенностей Получателя. Метод крепления определяется в зависимости от индивидуальных особенностей Получателя.*</w:t>
            </w: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sz w:val="26"/>
                <w:szCs w:val="26"/>
              </w:rPr>
              <w:t>Обувь на протез на утепленной подкладке- ботинки, полуботинки, туфли, детские. Наружные детали верха обуви из кожи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 xml:space="preserve"> натуральной для верха обуви, допускаются сукно, ткань обувная, дублированные и триплированные обувные материалы, войлок обувной, фетр. Внутренние детали верха обуви из кож натуральных для подкладки обуви, тканей для подкладки обуви, полотна трикотажного. 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Подошва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подошка формованная; метод крепления подошвы — клеевой. Обувь изготавляивается зимнего и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 xml:space="preserve"> летнего ассортимета, подошвы летнего назначения используются на основе полиэфируретана и из термопластов с неглубоким рисунком на ходовой поверхности. Обувь зимнего ассортимента выпускается на формованной подошве с более глубоким рисунком на поверхности, 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>на микропористой подошве с дополнительной ребристой текстурой. Крепление на нижней конечности при помощи шнурка, блочек, крючков, пряжек, резинок, застежек «молния», «контакт». Изготовление на колодке по обмерам. Назначение: для лиц, пользующихся протезами</w:t>
            </w:r>
            <w:r w:rsidRPr="00735CD6">
              <w:rPr>
                <w:rFonts w:ascii="Times New Roman" w:hAnsi="Times New Roman"/>
                <w:sz w:val="26"/>
                <w:szCs w:val="26"/>
              </w:rPr>
              <w:t xml:space="preserve"> нижних конечностей. Вид, назначение и конструкция обуви определяется врачом-ортопедом*. Метод крепления определяется в зависимости от индивидуальных особенностей Получателя.*</w:t>
            </w:r>
          </w:p>
          <w:p w:rsidR="002C5516" w:rsidRPr="00735CD6" w:rsidRDefault="002C5516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5516" w:rsidRPr="00735CD6" w:rsidRDefault="00FF28A5" w:rsidP="00FE5F0A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5CD6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пар — 1.</w:t>
            </w:r>
          </w:p>
        </w:tc>
      </w:tr>
      <w:tr w:rsidR="002C5516" w:rsidRPr="00735CD6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516" w:rsidRPr="00735CD6" w:rsidRDefault="00FF28A5" w:rsidP="00FE5F0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*Материал, указанный в техническом задании будет </w:t>
            </w:r>
            <w:r w:rsidRPr="00735CD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применяться при выполнении работ по изготовлению ортопедической обуви сложной в зависимости от индивидуальных особенностей Получателей.</w:t>
            </w:r>
          </w:p>
        </w:tc>
      </w:tr>
    </w:tbl>
    <w:p w:rsidR="002C5516" w:rsidRPr="00735CD6" w:rsidRDefault="002C5516" w:rsidP="00FE5F0A">
      <w:pPr>
        <w:pStyle w:val="Standard"/>
        <w:jc w:val="both"/>
        <w:rPr>
          <w:rFonts w:ascii="Times New Roman" w:hAnsi="Times New Roman"/>
          <w:sz w:val="28"/>
        </w:rPr>
      </w:pPr>
    </w:p>
    <w:p w:rsidR="002C5516" w:rsidRPr="00735CD6" w:rsidRDefault="00FF28A5" w:rsidP="00FE5F0A">
      <w:pPr>
        <w:pStyle w:val="Standard"/>
        <w:jc w:val="both"/>
        <w:rPr>
          <w:rFonts w:ascii="Times New Roman" w:hAnsi="Times New Roman"/>
          <w:sz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Выполняемые работы по обеспечению инвалидов ортопедической обувью  должны содержать комплекс медицинских, технических и социальных мероприятий проводимых с инвалидами, имеющими нарушения и (или) дефекты опорно-двиг</w:t>
      </w:r>
      <w:r w:rsidRPr="00735CD6">
        <w:rPr>
          <w:rFonts w:ascii="Times New Roman" w:hAnsi="Times New Roman"/>
          <w:color w:val="000000"/>
          <w:sz w:val="28"/>
          <w:szCs w:val="28"/>
        </w:rPr>
        <w:t>ательного аппарата, в целях восстановления или компенсации ограничений их жизнедеятельности.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Ортопедическая обувь должна соответствовать требованиями Национального стандарта Российской Федерации ГОСТ Р ИСО 9999-2019; прочность крепления, деформация задника</w:t>
      </w:r>
      <w:r w:rsidRPr="00735CD6">
        <w:rPr>
          <w:rFonts w:ascii="Times New Roman" w:hAnsi="Times New Roman"/>
          <w:sz w:val="28"/>
          <w:szCs w:val="28"/>
        </w:rPr>
        <w:t xml:space="preserve"> и подноска соответствовать </w:t>
      </w:r>
      <w:r w:rsidRPr="00735CD6">
        <w:rPr>
          <w:rFonts w:ascii="Times New Roman" w:hAnsi="Times New Roman"/>
          <w:sz w:val="28"/>
          <w:szCs w:val="28"/>
        </w:rPr>
        <w:t>ГОСТ 21463-87 «Обувь. Нормы прочности» и гибкость обуви -ГОСТ 14226-80 «Обувь. Нормы гибкости».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5CD6">
        <w:rPr>
          <w:rFonts w:ascii="Times New Roman" w:hAnsi="Times New Roman"/>
          <w:b/>
          <w:sz w:val="28"/>
          <w:szCs w:val="28"/>
        </w:rPr>
        <w:t>Ортопедическая обувь сложная должна быть ручного или полу механического производства.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При обработке ортопедической обуви сложной</w:t>
      </w:r>
      <w:r w:rsidRPr="00735CD6">
        <w:rPr>
          <w:rFonts w:ascii="Times New Roman" w:hAnsi="Times New Roman"/>
          <w:sz w:val="28"/>
          <w:szCs w:val="28"/>
        </w:rPr>
        <w:t xml:space="preserve"> должно предусматриваться несколько примерок.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Обувь должна быть устойчива к воздействию физиологической жидкости (пота) по МУ 25.1.-001.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Обувь повседневная должна быть устойчива к климатическим воздействиям (колебания температур, атмосферные осадки, во</w:t>
      </w:r>
      <w:r w:rsidRPr="00735CD6">
        <w:rPr>
          <w:rFonts w:ascii="Times New Roman" w:hAnsi="Times New Roman"/>
          <w:sz w:val="28"/>
          <w:szCs w:val="28"/>
        </w:rPr>
        <w:t>да, пыль).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Синтетические и искусственные материалы, применяемые на наружные детали низа зимней обуви, должны быть морозостойкими  в  соответствии с требованиями нормативных документов на эти материалы.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Межстелечный слой должен быть устойчив к гигиеническ</w:t>
      </w:r>
      <w:r w:rsidRPr="00735CD6">
        <w:rPr>
          <w:rFonts w:ascii="Times New Roman" w:hAnsi="Times New Roman"/>
          <w:sz w:val="28"/>
          <w:szCs w:val="28"/>
        </w:rPr>
        <w:t>ой обработке раствором детского мыла по ГОСТ 25644</w:t>
      </w:r>
      <w:r w:rsidR="009C0488" w:rsidRPr="00735CD6">
        <w:rPr>
          <w:rFonts w:ascii="Times New Roman" w:hAnsi="Times New Roman"/>
          <w:sz w:val="28"/>
          <w:szCs w:val="28"/>
        </w:rPr>
        <w:t>-96</w:t>
      </w:r>
      <w:r w:rsidRPr="00735CD6">
        <w:rPr>
          <w:rFonts w:ascii="Times New Roman" w:hAnsi="Times New Roman"/>
          <w:sz w:val="28"/>
          <w:szCs w:val="28"/>
        </w:rPr>
        <w:t xml:space="preserve"> в теплой воде до температуры не выше плюс 40 град. С.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  Г</w:t>
      </w:r>
      <w:r w:rsidRPr="00735CD6">
        <w:rPr>
          <w:rFonts w:ascii="Times New Roman" w:hAnsi="Times New Roman"/>
          <w:sz w:val="28"/>
          <w:szCs w:val="28"/>
        </w:rPr>
        <w:t>ОСТ Р 51632-2014  «Технические средства реабилитации людей с ограничениями жизнедеятельности. Общие технические  требования и методы испытаний».</w:t>
      </w:r>
    </w:p>
    <w:p w:rsidR="002C5516" w:rsidRPr="00735CD6" w:rsidRDefault="002C5516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 xml:space="preserve">Упаковка ортопедической обуви должна обеспечить защиту от повреждений, порчи (изнашивания) или загрязнения во </w:t>
      </w:r>
      <w:r w:rsidRPr="00735CD6">
        <w:rPr>
          <w:rFonts w:ascii="Times New Roman" w:hAnsi="Times New Roman"/>
          <w:sz w:val="28"/>
          <w:szCs w:val="28"/>
        </w:rPr>
        <w:t>время хранения и транспортировки к месту использования по назначению.</w:t>
      </w:r>
    </w:p>
    <w:p w:rsidR="00FE5F0A" w:rsidRPr="00735CD6" w:rsidRDefault="00FE5F0A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b/>
          <w:sz w:val="28"/>
          <w:szCs w:val="28"/>
        </w:rPr>
        <w:t>Требования к безопасности работ:</w:t>
      </w:r>
      <w:r w:rsidRPr="00735CD6">
        <w:rPr>
          <w:rFonts w:ascii="Times New Roman" w:hAnsi="Times New Roman"/>
          <w:sz w:val="28"/>
          <w:szCs w:val="28"/>
        </w:rPr>
        <w:t xml:space="preserve"> </w:t>
      </w:r>
      <w:r w:rsidRPr="00735CD6">
        <w:rPr>
          <w:rFonts w:ascii="Times New Roman" w:hAnsi="Times New Roman"/>
          <w:sz w:val="28"/>
          <w:szCs w:val="28"/>
        </w:rPr>
        <w:t xml:space="preserve">проведение работ по обеспечению инвалидов ортопедической обувью должна осуществляться  при наличии </w:t>
      </w:r>
      <w:r w:rsidRPr="00735CD6">
        <w:rPr>
          <w:rFonts w:ascii="Times New Roman" w:hAnsi="Times New Roman"/>
          <w:color w:val="000000"/>
          <w:sz w:val="28"/>
          <w:szCs w:val="28"/>
        </w:rPr>
        <w:t>документов на соответствие которым проводится обязате</w:t>
      </w:r>
      <w:r w:rsidRPr="00735CD6">
        <w:rPr>
          <w:rFonts w:ascii="Times New Roman" w:hAnsi="Times New Roman"/>
          <w:color w:val="000000"/>
          <w:sz w:val="28"/>
          <w:szCs w:val="28"/>
        </w:rPr>
        <w:t>льное подтверждение соответствия: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ГОСТ ISO 10993-5-2011 - Изделия медицинские. Оценка биологического действия медицинских и</w:t>
      </w:r>
      <w:r w:rsidRPr="00735CD6">
        <w:rPr>
          <w:rFonts w:ascii="Times New Roman" w:hAnsi="Times New Roman"/>
          <w:color w:val="000000"/>
          <w:sz w:val="28"/>
          <w:szCs w:val="28"/>
        </w:rPr>
        <w:t>зделий. Часть 5. Исследования на цитотоксичность: методы in vitro.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ГОСТ Р 52770-2016 -</w:t>
      </w:r>
      <w:r w:rsidRPr="00735CD6">
        <w:rPr>
          <w:rFonts w:ascii="Times New Roman" w:hAnsi="Times New Roman"/>
          <w:color w:val="000000"/>
          <w:sz w:val="28"/>
          <w:szCs w:val="28"/>
        </w:rPr>
        <w:t xml:space="preserve"> Изделия медицинские. Требования безопасности. Методы санитарно-химических и токсикологических испытаний.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- ГО</w:t>
      </w:r>
      <w:r w:rsidRPr="00735CD6">
        <w:rPr>
          <w:rFonts w:ascii="Times New Roman" w:hAnsi="Times New Roman"/>
          <w:color w:val="000000"/>
          <w:sz w:val="28"/>
          <w:szCs w:val="28"/>
        </w:rPr>
        <w:t>СТ Р 55638-2013 «Услуги по изготовлению ортопедической обуви. Требования к безопасности».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 xml:space="preserve"> </w:t>
      </w:r>
      <w:r w:rsidRPr="00735CD6">
        <w:rPr>
          <w:rFonts w:ascii="Times New Roman" w:hAnsi="Times New Roman"/>
          <w:sz w:val="28"/>
          <w:szCs w:val="28"/>
        </w:rPr>
        <w:t>- ГОСТ Р 54407-2011- Обувь ортопедическая. Общие технические условия</w:t>
      </w:r>
    </w:p>
    <w:p w:rsidR="00FE5F0A" w:rsidRDefault="00FE5F0A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Срок выполнения работ: не более 45 дней.</w:t>
      </w:r>
    </w:p>
    <w:p w:rsidR="00FE5F0A" w:rsidRPr="00735CD6" w:rsidRDefault="00FE5F0A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5CD6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работ, гарантиям качества: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Раб</w:t>
      </w:r>
      <w:r w:rsidRPr="00735CD6">
        <w:rPr>
          <w:rFonts w:ascii="Times New Roman" w:hAnsi="Times New Roman"/>
          <w:sz w:val="28"/>
          <w:szCs w:val="28"/>
        </w:rPr>
        <w:t xml:space="preserve">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</w:t>
      </w:r>
      <w:r w:rsidRPr="00735CD6">
        <w:rPr>
          <w:rFonts w:ascii="Times New Roman" w:hAnsi="Times New Roman"/>
          <w:sz w:val="28"/>
          <w:szCs w:val="28"/>
        </w:rPr>
        <w:t>и изготавливаемую для инвалидов с деформациями, дефектами или функциональной недостаточностью стоп с целью компенсации утраченных  функций нижних конечностей.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Ортопедическая обувь обеспечивает: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- достаточность опорноспособности конечности;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-удержание стопы</w:t>
      </w:r>
      <w:r w:rsidRPr="00735CD6">
        <w:rPr>
          <w:rFonts w:ascii="Times New Roman" w:hAnsi="Times New Roman"/>
          <w:sz w:val="28"/>
          <w:szCs w:val="28"/>
        </w:rPr>
        <w:t xml:space="preserve"> в корригированном положении для обеспечения функционально благоприятных условий развития детей;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- фиксацию стопы в правильном положении после деформаций, а также для профилактики прогрессирования деформации;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735CD6">
        <w:rPr>
          <w:rFonts w:ascii="Times New Roman" w:hAnsi="Times New Roman"/>
          <w:sz w:val="28"/>
          <w:szCs w:val="28"/>
        </w:rPr>
        <w:t>- компенсацию укорочения конечности.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735CD6">
        <w:rPr>
          <w:rFonts w:ascii="Times New Roman" w:hAnsi="Times New Roman"/>
          <w:color w:val="000000"/>
          <w:sz w:val="28"/>
          <w:szCs w:val="28"/>
        </w:rPr>
        <w:t>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</w:t>
      </w:r>
      <w:r w:rsidRPr="00735CD6">
        <w:rPr>
          <w:rFonts w:ascii="Times New Roman" w:hAnsi="Times New Roman"/>
          <w:color w:val="000000"/>
          <w:sz w:val="28"/>
          <w:szCs w:val="28"/>
        </w:rPr>
        <w:t>ного течения болезни, должны быть выполнены с надлежащим качеством и в установленные сроки.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CD6">
        <w:rPr>
          <w:rFonts w:ascii="Times New Roman" w:hAnsi="Times New Roman"/>
          <w:color w:val="000000"/>
          <w:sz w:val="28"/>
          <w:szCs w:val="28"/>
        </w:rPr>
        <w:t>- на детскую обувь - 45 дней.</w:t>
      </w:r>
    </w:p>
    <w:p w:rsidR="002C5516" w:rsidRPr="00735CD6" w:rsidRDefault="00FF28A5" w:rsidP="00FE5F0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Начало сезона определяется в соответствии с законом «О защите прав потребителей». 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2C5516" w:rsidRPr="00FF28A5" w:rsidRDefault="00FF28A5" w:rsidP="00FF28A5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5CD6">
        <w:rPr>
          <w:rFonts w:ascii="Times New Roman" w:hAnsi="Times New Roman"/>
          <w:color w:val="000000"/>
          <w:sz w:val="28"/>
          <w:szCs w:val="28"/>
        </w:rPr>
        <w:t>Предусмотреть в</w:t>
      </w:r>
      <w:r w:rsidRPr="00735CD6">
        <w:rPr>
          <w:rFonts w:ascii="Times New Roman" w:hAnsi="Times New Roman"/>
          <w:color w:val="000000"/>
          <w:sz w:val="28"/>
          <w:szCs w:val="28"/>
        </w:rPr>
        <w:t xml:space="preserve">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характеристикам, указанным в государственном контракте.</w:t>
      </w:r>
      <w:bookmarkStart w:id="0" w:name="_GoBack"/>
      <w:bookmarkEnd w:id="0"/>
    </w:p>
    <w:sectPr w:rsidR="002C5516" w:rsidRPr="00FF28A5">
      <w:pgSz w:w="11905" w:h="16837"/>
      <w:pgMar w:top="953" w:right="1134" w:bottom="4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28A5">
      <w:r>
        <w:separator/>
      </w:r>
    </w:p>
  </w:endnote>
  <w:endnote w:type="continuationSeparator" w:id="0">
    <w:p w:rsidR="00000000" w:rsidRDefault="00FF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28A5">
      <w:r>
        <w:rPr>
          <w:color w:val="000000"/>
        </w:rPr>
        <w:separator/>
      </w:r>
    </w:p>
  </w:footnote>
  <w:footnote w:type="continuationSeparator" w:id="0">
    <w:p w:rsidR="00000000" w:rsidRDefault="00FF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5516"/>
    <w:rsid w:val="002C5516"/>
    <w:rsid w:val="00735CD6"/>
    <w:rsid w:val="009C0488"/>
    <w:rsid w:val="00A70391"/>
    <w:rsid w:val="00B54830"/>
    <w:rsid w:val="00CD330C"/>
    <w:rsid w:val="00D154C7"/>
    <w:rsid w:val="00FB405D"/>
    <w:rsid w:val="00FE5F0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6DA3-05F6-46D6-9DC0-6694D44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cs="Mangal"/>
      <w:sz w:val="20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5</cp:revision>
  <cp:lastPrinted>2020-11-20T07:32:00Z</cp:lastPrinted>
  <dcterms:created xsi:type="dcterms:W3CDTF">2020-11-20T07:42:00Z</dcterms:created>
  <dcterms:modified xsi:type="dcterms:W3CDTF">2020-11-20T07:46:00Z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