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36" w:rsidRPr="00373636" w:rsidRDefault="00373636" w:rsidP="0037363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373636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373636" w:rsidRPr="00373636" w:rsidRDefault="00373636" w:rsidP="00373636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Оказание услуг по охране административных зданий в 2021 году Государственного учреждения – Псковского регионального отделения Фонда социального страхования РФ, расположенных по адресам: </w:t>
      </w:r>
    </w:p>
    <w:p w:rsidR="00373636" w:rsidRPr="00373636" w:rsidRDefault="00373636" w:rsidP="00373636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b/>
          <w:color w:val="FF0000"/>
          <w:lang w:eastAsia="ru-RU"/>
        </w:rPr>
      </w:pPr>
      <w:proofErr w:type="gramStart"/>
      <w:r w:rsidRPr="00373636">
        <w:rPr>
          <w:rFonts w:ascii="Times New Roman" w:eastAsia="Times New Roman" w:hAnsi="Times New Roman" w:cs="Times New Roman"/>
          <w:b/>
          <w:color w:val="FF0000"/>
          <w:lang w:eastAsia="ru-RU"/>
        </w:rPr>
        <w:t>г. Псков, ул. Кузнецкая, д.7 , г. Псков, ул. Кузнецкая, д. 13 «Б»</w:t>
      </w:r>
      <w:proofErr w:type="gramEnd"/>
    </w:p>
    <w:p w:rsidR="00373636" w:rsidRPr="00373636" w:rsidRDefault="00373636" w:rsidP="00373636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lang w:eastAsia="ru-RU"/>
        </w:rPr>
      </w:pPr>
      <w:r w:rsidRPr="00373636">
        <w:rPr>
          <w:rFonts w:ascii="Times New Roman" w:eastAsia="Andale Sans UI" w:hAnsi="Times New Roman" w:cs="Arial"/>
          <w:b/>
          <w:bCs/>
          <w:spacing w:val="-2"/>
          <w:kern w:val="1"/>
          <w:lang w:eastAsia="ru-RU"/>
        </w:rPr>
        <w:t>Технические и функциональные характеристики объекта закупки</w:t>
      </w:r>
    </w:p>
    <w:p w:rsidR="00373636" w:rsidRPr="00373636" w:rsidRDefault="00373636" w:rsidP="00373636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11"/>
        <w:gridCol w:w="1417"/>
        <w:gridCol w:w="1701"/>
      </w:tblGrid>
      <w:tr w:rsidR="00373636" w:rsidRPr="00373636" w:rsidTr="009650B4">
        <w:tc>
          <w:tcPr>
            <w:tcW w:w="660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№</w:t>
            </w:r>
          </w:p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proofErr w:type="gramStart"/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п</w:t>
            </w:r>
            <w:proofErr w:type="gramEnd"/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/п</w:t>
            </w:r>
          </w:p>
        </w:tc>
        <w:tc>
          <w:tcPr>
            <w:tcW w:w="6111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 xml:space="preserve">Наименование </w:t>
            </w:r>
          </w:p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услуги</w:t>
            </w:r>
          </w:p>
        </w:tc>
        <w:tc>
          <w:tcPr>
            <w:tcW w:w="1417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 xml:space="preserve">Единица </w:t>
            </w:r>
          </w:p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Кол-во</w:t>
            </w:r>
          </w:p>
        </w:tc>
      </w:tr>
      <w:tr w:rsidR="00373636" w:rsidRPr="00373636" w:rsidTr="009650B4">
        <w:tc>
          <w:tcPr>
            <w:tcW w:w="660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/>
                <w:bCs/>
                <w:spacing w:val="-2"/>
                <w:kern w:val="1"/>
                <w:lang w:eastAsia="ru-RU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</w:pPr>
            <w:proofErr w:type="gramStart"/>
            <w:r w:rsidRPr="00373636"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  <w:t>Оказание услуг по охране административных зданий (г. Псков, ул. Кузнецкая, д.7 и г. Псков, ул. Кузнецкая, д. 13б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</w:pPr>
          </w:p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  <w:t>Час (ч)</w:t>
            </w:r>
          </w:p>
        </w:tc>
        <w:tc>
          <w:tcPr>
            <w:tcW w:w="1701" w:type="dxa"/>
            <w:shd w:val="clear" w:color="auto" w:fill="auto"/>
          </w:tcPr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</w:pPr>
          </w:p>
          <w:p w:rsidR="00373636" w:rsidRPr="00373636" w:rsidRDefault="00373636" w:rsidP="00373636">
            <w:pPr>
              <w:widowControl w:val="0"/>
              <w:tabs>
                <w:tab w:val="left" w:pos="3434"/>
                <w:tab w:val="left" w:pos="9495"/>
              </w:tabs>
              <w:suppressAutoHyphens/>
              <w:spacing w:after="60" w:line="240" w:lineRule="auto"/>
              <w:ind w:right="15"/>
              <w:jc w:val="center"/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</w:pPr>
            <w:r w:rsidRPr="00373636">
              <w:rPr>
                <w:rFonts w:ascii="Times New Roman" w:eastAsia="Andale Sans UI" w:hAnsi="Times New Roman" w:cs="Arial"/>
                <w:bCs/>
                <w:spacing w:val="-2"/>
                <w:kern w:val="1"/>
                <w:lang w:eastAsia="ru-RU"/>
              </w:rPr>
              <w:t>17 520</w:t>
            </w:r>
          </w:p>
        </w:tc>
      </w:tr>
    </w:tbl>
    <w:p w:rsidR="00373636" w:rsidRPr="00373636" w:rsidRDefault="00373636" w:rsidP="00373636">
      <w:pPr>
        <w:widowControl w:val="0"/>
        <w:shd w:val="clear" w:color="auto" w:fill="FFFFFF"/>
        <w:tabs>
          <w:tab w:val="left" w:pos="3434"/>
          <w:tab w:val="left" w:pos="9495"/>
        </w:tabs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Arial"/>
          <w:b/>
          <w:bCs/>
          <w:spacing w:val="-2"/>
          <w:kern w:val="1"/>
          <w:lang w:eastAsia="ru-RU"/>
        </w:rPr>
      </w:pPr>
    </w:p>
    <w:p w:rsidR="00373636" w:rsidRPr="00373636" w:rsidRDefault="00373636" w:rsidP="00373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73636">
        <w:rPr>
          <w:rFonts w:ascii="Times New Roman" w:eastAsia="Times New Roman" w:hAnsi="Times New Roman" w:cs="Times New Roman"/>
          <w:b/>
          <w:bCs/>
        </w:rPr>
        <w:t>Описание объекта закупки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373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выполнения работ, оказания услуг, поставки товара: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Псков, ул. Кузнецкая, д.7 и ул. Кузнецкая, д. 13 б.</w:t>
      </w: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Срок оказания услуг: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01.01.2021 г по 31.12.2021 г.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6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Объем оказываемых услуг</w:t>
      </w: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17520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(ч).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объекта закупки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Круглосуточное (включая рабочие, выходные и праздничные дни) ответственное обеспечение охраны зданий </w:t>
      </w:r>
      <w:r w:rsidRPr="00373636">
        <w:rPr>
          <w:rFonts w:ascii="Times New Roman" w:eastAsia="Calibri" w:hAnsi="Times New Roman" w:cs="Times New Roman"/>
          <w:sz w:val="24"/>
          <w:szCs w:val="24"/>
        </w:rPr>
        <w:t xml:space="preserve">и пропускного режимов на охраняемом объекте Заказчика, оборудованного </w:t>
      </w:r>
      <w:r w:rsidRPr="00373636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средством безопасности</w:t>
      </w:r>
      <w:r w:rsidRPr="00373636">
        <w:rPr>
          <w:rFonts w:ascii="Times New Roman" w:eastAsia="Calibri" w:hAnsi="Times New Roman" w:cs="Times New Roman"/>
          <w:sz w:val="24"/>
          <w:szCs w:val="24"/>
        </w:rPr>
        <w:t xml:space="preserve"> (КТС)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Инструкцией по организации пропускного и объектового режима  Государственного учреждения — Псковского регионального отделения Фонда социального страхования Российской Федерации: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охрана служебных помещений зданий, расположенных по адресам: г. Псков, ул. Кузнецкая, д.7 площадью 1692,2 </w:t>
      </w:r>
      <w:proofErr w:type="spell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ул. Кузнецкая, дом 13 «б» площадью 910,5 </w:t>
      </w:r>
      <w:proofErr w:type="spell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имеющихся в </w:t>
      </w:r>
      <w:proofErr w:type="gram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 и документов.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услуг, предоставляемых в </w:t>
      </w:r>
      <w:proofErr w:type="gramStart"/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целях</w:t>
      </w:r>
      <w:proofErr w:type="gramEnd"/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охраны: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жизни и здоровья граждан;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объектов и (или) имущества (в том числе при его транспортировке);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объектов и (или) имущества на объектах, монтаж и эксплуатационное, обслуживание технических средств охраны, перечень видов которых устанавливается Правительством РФ, и (или) с принятием соответствующих мер реагирования на их сигнальную информацию;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и подготовка рекомендаций  по вопросам правомерной защиты от противоправных посягательств;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порядка в </w:t>
      </w:r>
      <w:proofErr w:type="gram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массовых мероприятий;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пропускного</w:t>
      </w:r>
      <w:proofErr w:type="gram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на объектах;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</w:t>
      </w:r>
      <w:proofErr w:type="spell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защищенности. </w:t>
      </w:r>
    </w:p>
    <w:p w:rsidR="00373636" w:rsidRPr="00373636" w:rsidRDefault="00373636" w:rsidP="0037363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Контракта с частной охранной организацией могут быть только перечисленные услуги. Оказание исполнителем услуг, не включенных в приведенный перечень, не допускается, так как является грубым нарушением осуществления частной охранной деятельности (</w:t>
      </w:r>
      <w:hyperlink r:id="rId5" w:history="1">
        <w:r w:rsidRPr="003736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4 ч. 8 ст. 11.5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частной детективной и охранной деятельности).</w:t>
      </w:r>
    </w:p>
    <w:p w:rsidR="00373636" w:rsidRPr="00373636" w:rsidRDefault="00373636" w:rsidP="00373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Исполнителю услуг:</w:t>
      </w:r>
    </w:p>
    <w:p w:rsidR="00373636" w:rsidRPr="00373636" w:rsidRDefault="00373636" w:rsidP="00373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должен иметь де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йствующую </w:t>
      </w:r>
      <w:r w:rsidRPr="0037363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лицензию на осуществление охранной деятельности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 от 11.03.1992 года № ФЗ-2487-1 «О частной детективной и охранной деятельности в Российской Федерации»). В случае</w:t>
      </w:r>
      <w:proofErr w:type="gramStart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лицензии, в соответствии с требованиями законодательства;</w:t>
      </w:r>
    </w:p>
    <w:p w:rsidR="00373636" w:rsidRPr="00373636" w:rsidRDefault="00373636" w:rsidP="0037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группы быстрого реагирования (ГБР) с круглосуточным режимом работы, имеющей постоянную связь с объектами охраны;</w:t>
      </w:r>
    </w:p>
    <w:p w:rsidR="00373636" w:rsidRPr="00373636" w:rsidRDefault="00373636" w:rsidP="00373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Исполнителя оперативной дежурной службы (оперативного дежурного) с круглосуточным режимом работы, имеющего постоянную радиосвязь с объектом охраны;</w:t>
      </w:r>
    </w:p>
    <w:p w:rsidR="00373636" w:rsidRPr="00373636" w:rsidRDefault="00373636" w:rsidP="00373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самостоятельное оборудование поста охраны кнопкой экстренного вызова группы быстрого реагирования охранной организации;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сотрудниками организации, оказывающей охранные услуги, должно быть пройдено профессиональное обучение для работы в качестве частного охранника и сдан квалификационный экзамен, что подтверждается удостоверением частного охранника. </w:t>
      </w:r>
      <w:hyperlink r:id="rId6" w:history="1">
        <w:r w:rsidRPr="0037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квалификационного экзамена и выдачи удостоверения частного охранника устанавливается Правительством Российской Федерации. Частный охранник работает по трудовому договору с частной охранной организацией, и его трудовая деятельность регулируется трудовым </w:t>
      </w:r>
      <w:hyperlink r:id="rId7" w:history="1">
        <w:r w:rsidRPr="0037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Законом РФ от 11.03.1992 N 2487-1 (ред. от 13.07.2015) "О частной детективной и охранной деятельности в Российской Федерации";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обязательным требованием является наличие у работников частной охранной организации, осуществляющих охранные услуги, личной </w:t>
      </w:r>
      <w:hyperlink r:id="rId8" w:history="1">
        <w:r w:rsidRPr="0037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карточки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охранника, выданной органами внутренних дел в </w:t>
      </w:r>
      <w:hyperlink r:id="rId9" w:history="1">
        <w:r w:rsidRPr="0037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в ведении которого находятся вопросы внутренних дел;</w:t>
      </w:r>
    </w:p>
    <w:p w:rsidR="00373636" w:rsidRPr="00373636" w:rsidRDefault="00373636" w:rsidP="00373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 обеспечить оказание услуг собственными силами и средствами, без заключения договоров субподряда;</w:t>
      </w:r>
    </w:p>
    <w:p w:rsidR="00373636" w:rsidRPr="00373636" w:rsidRDefault="00373636" w:rsidP="00373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Исполнителя собственных</w:t>
      </w: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Автомобилей, которые должны иметь специальную раскраску, информационные надписи и знаки на транспортных средствах;</w:t>
      </w:r>
    </w:p>
    <w:p w:rsidR="00373636" w:rsidRPr="00373636" w:rsidRDefault="00373636" w:rsidP="00373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наличие списка всех Сотрудников Исполнителя, которых Исполнитель может привлечь к исполнению Контракта;</w:t>
      </w:r>
    </w:p>
    <w:p w:rsidR="00373636" w:rsidRPr="00373636" w:rsidRDefault="00373636" w:rsidP="003736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3636">
        <w:rPr>
          <w:rFonts w:ascii="Times New Roman" w:eastAsia="Calibri" w:hAnsi="Times New Roman" w:cs="Times New Roman"/>
          <w:sz w:val="24"/>
          <w:szCs w:val="24"/>
        </w:rPr>
        <w:t>- для круглосуточной охраны объекта выставляется 1 пост – 1 человек на посту в смену (количество смен Исполнитель устанавливает по своему усмотрению).  Исполнитель должен выделить на постоянной основе сотрудников охраны в количестве не менее 3 человек на один объект;</w:t>
      </w:r>
    </w:p>
    <w:p w:rsidR="00373636" w:rsidRPr="00373636" w:rsidRDefault="00373636" w:rsidP="003736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373636">
        <w:rPr>
          <w:rFonts w:ascii="Times New Roman" w:eastAsia="Calibri" w:hAnsi="Times New Roman" w:cs="Times New Roman"/>
          <w:sz w:val="24"/>
          <w:szCs w:val="24"/>
        </w:rPr>
        <w:t>наличие у Исполнителя</w:t>
      </w:r>
      <w:r w:rsidRPr="00373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страхования ответственности при осуществлении охранной деятельности;</w:t>
      </w:r>
    </w:p>
    <w:p w:rsidR="00373636" w:rsidRPr="00373636" w:rsidRDefault="00373636" w:rsidP="003736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73636">
        <w:rPr>
          <w:rFonts w:ascii="Times New Roman" w:eastAsia="Calibri" w:hAnsi="Times New Roman" w:cs="Times New Roman"/>
          <w:sz w:val="24"/>
          <w:szCs w:val="24"/>
        </w:rPr>
        <w:t>наличие у сотрудников Исполнителя</w:t>
      </w:r>
      <w:r w:rsidRPr="00373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форменной одежды (название/эмблема на одежде обязательно) в зависимости от сезона, места несения службы, задач охранника;</w:t>
      </w:r>
    </w:p>
    <w:p w:rsidR="00373636" w:rsidRPr="00373636" w:rsidRDefault="00373636" w:rsidP="003736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</w:t>
      </w:r>
      <w:hyperlink r:id="rId10" w:history="1">
        <w:r w:rsidRPr="00373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ношения специальной форменной одежды при оказании различных видов охранных услуг устанавливается Правительством Российской Федерации;</w:t>
      </w:r>
    </w:p>
    <w:p w:rsidR="00373636" w:rsidRPr="00373636" w:rsidRDefault="00373636" w:rsidP="00373636">
      <w:pPr>
        <w:widowControl w:val="0"/>
        <w:spacing w:after="0" w:line="240" w:lineRule="auto"/>
        <w:ind w:right="639"/>
        <w:rPr>
          <w:rFonts w:ascii="Times New Roman" w:eastAsia="Times New Roman" w:hAnsi="Times New Roman" w:cs="Times New Roman"/>
          <w:lang w:eastAsia="ar-SA"/>
        </w:rPr>
      </w:pPr>
      <w:r w:rsidRP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Исполнитель обязан разработать, изготовить и согласовать с Заказчиком документацию по организации охраны объекта (инструкцию о пропускном и внутри объектном режиме).  </w:t>
      </w:r>
    </w:p>
    <w:bookmarkEnd w:id="0"/>
    <w:p w:rsidR="00373636" w:rsidRPr="00373636" w:rsidRDefault="00373636" w:rsidP="00373636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73636">
        <w:rPr>
          <w:rFonts w:ascii="Times New Roman" w:eastAsia="Times New Roman" w:hAnsi="Times New Roman" w:cs="Times New Roman"/>
          <w:u w:val="single"/>
          <w:lang w:eastAsia="ru-RU"/>
        </w:rPr>
        <w:t>Срок оказания услуг:</w:t>
      </w:r>
      <w:r w:rsidRPr="00373636">
        <w:rPr>
          <w:rFonts w:ascii="Times New Roman" w:eastAsia="Times New Roman" w:hAnsi="Times New Roman" w:cs="Times New Roman"/>
          <w:color w:val="FF0000"/>
          <w:lang w:eastAsia="ru-RU"/>
        </w:rPr>
        <w:t xml:space="preserve"> с 01.01.2021 по 31.12.2021 включительно</w:t>
      </w:r>
    </w:p>
    <w:p w:rsidR="00143697" w:rsidRDefault="00373636" w:rsidP="00373636">
      <w:r w:rsidRPr="00373636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373636">
        <w:rPr>
          <w:rFonts w:ascii="Times New Roman" w:eastAsia="Times New Roman" w:hAnsi="Times New Roman" w:cs="Times New Roman"/>
          <w:color w:val="FF0000"/>
          <w:lang w:eastAsia="ru-RU"/>
        </w:rPr>
        <w:t>с даты заключения</w:t>
      </w:r>
      <w:proofErr w:type="gramEnd"/>
      <w:r w:rsidRPr="00373636">
        <w:rPr>
          <w:rFonts w:ascii="Times New Roman" w:eastAsia="Times New Roman" w:hAnsi="Times New Roman" w:cs="Times New Roman"/>
          <w:color w:val="FF0000"/>
          <w:lang w:eastAsia="ru-RU"/>
        </w:rPr>
        <w:t xml:space="preserve"> Контракта </w:t>
      </w:r>
      <w:r w:rsidRPr="00373636">
        <w:rPr>
          <w:rFonts w:ascii="Times New Roman" w:eastAsia="Times New Roman" w:hAnsi="Times New Roman" w:cs="Times New Roman"/>
          <w:b/>
          <w:color w:val="FF0000"/>
          <w:lang w:eastAsia="ru-RU"/>
        </w:rPr>
        <w:t>не позднее</w:t>
      </w:r>
      <w:r w:rsidRPr="0037363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37363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31.12.2021 года </w:t>
      </w:r>
      <w:r w:rsidRPr="00373636">
        <w:rPr>
          <w:rFonts w:ascii="Times New Roman" w:eastAsia="Times New Roman" w:hAnsi="Times New Roman" w:cs="Times New Roman"/>
          <w:color w:val="FF0000"/>
          <w:lang w:eastAsia="ru-RU"/>
        </w:rPr>
        <w:t>включительно</w:t>
      </w:r>
      <w:r w:rsidRPr="00373636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sectPr w:rsidR="0014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1"/>
    <w:rsid w:val="00143697"/>
    <w:rsid w:val="00373636"/>
    <w:rsid w:val="00D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30D589BFBD04C52793B92D8603267F667328B417195FEFFw97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D171EE60916B9C2EAEB08B642U0y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D171FE60C1CB9C2EAEB08B6420BA89D5285C3D8291062AAUEy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641932FDE88C28E42563199C4437CFE6A799DB471D2317D4AA796649C968B0F4B9F62415E5yCI" TargetMode="External"/><Relationship Id="rId10" Type="http://schemas.openxmlformats.org/officeDocument/2006/relationships/hyperlink" Target="consultantplus://offline/ref=31BE2A8B341B8BD20A7229F5D345BD9A2CDB35B523F72347D2D5DFB7434F278A9DAC0198q8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DA8A821EF4C64063F1BC5F7902526C30D589BFBD04C52793B92D8603267F667328B417195F8FFw9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2020-11-23T13:21:00Z</dcterms:created>
  <dcterms:modified xsi:type="dcterms:W3CDTF">2020-11-23T13:26:00Z</dcterms:modified>
</cp:coreProperties>
</file>