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FA27A9" w:rsidTr="005C7F4F">
        <w:trPr>
          <w:trHeight w:val="2810"/>
        </w:trPr>
        <w:tc>
          <w:tcPr>
            <w:tcW w:w="10490" w:type="dxa"/>
          </w:tcPr>
          <w:p w:rsidR="00E82856" w:rsidRPr="00FA27A9" w:rsidRDefault="008726F0" w:rsidP="00FA27A9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A27A9">
              <w:rPr>
                <w:b/>
                <w:sz w:val="28"/>
                <w:szCs w:val="28"/>
              </w:rPr>
              <w:t>Техническое задание</w:t>
            </w:r>
          </w:p>
          <w:p w:rsidR="00FA27A9" w:rsidRPr="00FA27A9" w:rsidRDefault="00FA27A9" w:rsidP="00FA27A9">
            <w:pPr>
              <w:shd w:val="clear" w:color="auto" w:fill="FFFFFF"/>
              <w:snapToGrid w:val="0"/>
              <w:jc w:val="center"/>
              <w:rPr>
                <w:b/>
                <w:sz w:val="28"/>
                <w:szCs w:val="28"/>
              </w:rPr>
            </w:pPr>
            <w:r w:rsidRPr="00FA27A9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с заболеваниями опорно-двигательного аппарата (костно-мышечной системы и соединительной ткани), нервной системы, системы кровообращения, эндокринной системы</w:t>
            </w:r>
          </w:p>
          <w:p w:rsidR="00FA27A9" w:rsidRPr="00FA27A9" w:rsidRDefault="00FA27A9" w:rsidP="00FA27A9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F95CC0" w:rsidRPr="00FA27A9" w:rsidRDefault="00FA27A9" w:rsidP="00FA27A9">
            <w:pPr>
              <w:suppressAutoHyphens w:val="0"/>
              <w:ind w:firstLine="709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61800" w:rsidRPr="00FA27A9">
              <w:rPr>
                <w:b/>
                <w:sz w:val="28"/>
                <w:szCs w:val="28"/>
              </w:rPr>
              <w:t>1.</w:t>
            </w:r>
            <w:r w:rsidR="006D692C" w:rsidRPr="00FA27A9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FA27A9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FA27A9">
              <w:rPr>
                <w:b/>
                <w:i/>
                <w:sz w:val="28"/>
                <w:szCs w:val="28"/>
              </w:rPr>
              <w:t>услуг</w:t>
            </w:r>
            <w:r w:rsidR="006D692C" w:rsidRPr="00FA27A9">
              <w:rPr>
                <w:b/>
                <w:sz w:val="28"/>
                <w:szCs w:val="28"/>
              </w:rPr>
              <w:t xml:space="preserve">: </w:t>
            </w:r>
            <w:r w:rsidR="00794554" w:rsidRPr="00FA27A9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FA27A9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FA27A9">
              <w:rPr>
                <w:rFonts w:eastAsia="Lucida Sans Unicode"/>
                <w:color w:val="000000"/>
                <w:sz w:val="28"/>
                <w:szCs w:val="28"/>
              </w:rPr>
              <w:t xml:space="preserve">санаторно-курортному лечению льготной категории граждан, имеющих право на получение государственной социальной помощи в виде набора социальных услуг, </w:t>
            </w:r>
            <w:r w:rsidR="00CD6FE5" w:rsidRPr="00FA27A9">
              <w:rPr>
                <w:sz w:val="28"/>
                <w:szCs w:val="28"/>
              </w:rPr>
              <w:t xml:space="preserve">с заболеваниями </w:t>
            </w:r>
            <w:r w:rsidR="00CD6FE5" w:rsidRPr="00FA27A9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 xml:space="preserve">опорно-двигательного аппарата </w:t>
            </w:r>
            <w:r w:rsidR="00CD6FE5" w:rsidRPr="00FA27A9">
              <w:rPr>
                <w:sz w:val="28"/>
                <w:szCs w:val="28"/>
              </w:rPr>
              <w:t xml:space="preserve">(костно-мышечной системы и соединительной ткани), </w:t>
            </w:r>
            <w:r w:rsidR="00CD6FE5" w:rsidRPr="00FA27A9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нервной системы, системы кровообращения, эндокринной системы.</w:t>
            </w:r>
            <w:r>
              <w:rPr>
                <w:rFonts w:eastAsia="Lucida Sans Unicode"/>
                <w:color w:val="000000"/>
              </w:rPr>
              <w:t xml:space="preserve"> </w:t>
            </w:r>
          </w:p>
          <w:p w:rsidR="00A61800" w:rsidRPr="00FA27A9" w:rsidRDefault="00243484" w:rsidP="00FA27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FA27A9">
              <w:rPr>
                <w:b/>
                <w:i/>
                <w:sz w:val="28"/>
                <w:szCs w:val="28"/>
              </w:rPr>
              <w:t>2</w:t>
            </w:r>
            <w:r w:rsidR="00D936CD" w:rsidRPr="00FA27A9">
              <w:rPr>
                <w:b/>
                <w:i/>
                <w:sz w:val="28"/>
                <w:szCs w:val="28"/>
              </w:rPr>
              <w:t>.</w:t>
            </w:r>
            <w:r w:rsidR="006D692C" w:rsidRPr="00FA27A9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FA27A9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FA27A9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FA27A9">
              <w:rPr>
                <w:bCs/>
                <w:sz w:val="28"/>
                <w:szCs w:val="28"/>
              </w:rPr>
              <w:t xml:space="preserve"> </w:t>
            </w:r>
          </w:p>
          <w:p w:rsidR="00C760A3" w:rsidRPr="00FA27A9" w:rsidRDefault="00FA27A9" w:rsidP="00FA27A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CD6FE5" w:rsidRPr="00FA27A9">
              <w:rPr>
                <w:rFonts w:eastAsia="Lucida Sans Unicode"/>
                <w:color w:val="000000"/>
                <w:sz w:val="28"/>
                <w:szCs w:val="28"/>
              </w:rPr>
              <w:t>Курортная зона Большой Геленджик Краснодарского края.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</w:p>
          <w:p w:rsidR="006D692C" w:rsidRPr="00FA27A9" w:rsidRDefault="00FA27A9" w:rsidP="00FA27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FA27A9">
              <w:rPr>
                <w:color w:val="000000"/>
                <w:sz w:val="28"/>
                <w:szCs w:val="28"/>
              </w:rPr>
              <w:t>С</w:t>
            </w:r>
            <w:r w:rsidR="006D692C" w:rsidRPr="00FA27A9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FA27A9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FA27A9">
              <w:rPr>
                <w:color w:val="000000"/>
                <w:sz w:val="28"/>
                <w:szCs w:val="28"/>
              </w:rPr>
              <w:t>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325703" w:rsidRPr="00FA27A9">
              <w:rPr>
                <w:sz w:val="28"/>
                <w:szCs w:val="28"/>
              </w:rPr>
              <w:t>март</w:t>
            </w:r>
            <w:r w:rsidR="002903E5" w:rsidRPr="00FA27A9">
              <w:rPr>
                <w:sz w:val="28"/>
                <w:szCs w:val="28"/>
              </w:rPr>
              <w:t xml:space="preserve"> –</w:t>
            </w:r>
            <w:r w:rsidR="00424409" w:rsidRPr="00FA27A9">
              <w:rPr>
                <w:sz w:val="28"/>
                <w:szCs w:val="28"/>
              </w:rPr>
              <w:t xml:space="preserve"> </w:t>
            </w:r>
            <w:r w:rsidR="00502EED" w:rsidRPr="00FA27A9">
              <w:rPr>
                <w:sz w:val="28"/>
                <w:szCs w:val="28"/>
              </w:rPr>
              <w:t>ноябрь</w:t>
            </w:r>
            <w:r w:rsidR="002903E5" w:rsidRPr="00FA27A9">
              <w:rPr>
                <w:sz w:val="28"/>
                <w:szCs w:val="28"/>
              </w:rPr>
              <w:t xml:space="preserve"> </w:t>
            </w:r>
            <w:r w:rsidR="006D692C" w:rsidRPr="00FA27A9">
              <w:rPr>
                <w:bCs/>
                <w:sz w:val="28"/>
                <w:szCs w:val="28"/>
              </w:rPr>
              <w:t>20</w:t>
            </w:r>
            <w:r w:rsidR="008E0D35" w:rsidRPr="00FA27A9">
              <w:rPr>
                <w:bCs/>
                <w:sz w:val="28"/>
                <w:szCs w:val="28"/>
              </w:rPr>
              <w:t>2</w:t>
            </w:r>
            <w:r w:rsidR="000B4EC6" w:rsidRPr="00FA27A9">
              <w:rPr>
                <w:bCs/>
                <w:sz w:val="28"/>
                <w:szCs w:val="28"/>
              </w:rPr>
              <w:t>1</w:t>
            </w:r>
            <w:r w:rsidR="006D692C" w:rsidRPr="00FA27A9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FA27A9" w:rsidRDefault="00FA27A9" w:rsidP="00FA27A9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FA27A9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FA27A9">
              <w:rPr>
                <w:sz w:val="28"/>
                <w:szCs w:val="28"/>
              </w:rPr>
              <w:t>01</w:t>
            </w:r>
            <w:r w:rsidR="00424409" w:rsidRPr="00FA27A9">
              <w:rPr>
                <w:sz w:val="28"/>
                <w:szCs w:val="28"/>
              </w:rPr>
              <w:t xml:space="preserve"> октя</w:t>
            </w:r>
            <w:r w:rsidR="001E4F88" w:rsidRPr="00FA27A9">
              <w:rPr>
                <w:sz w:val="28"/>
                <w:szCs w:val="28"/>
              </w:rPr>
              <w:t>бря 20</w:t>
            </w:r>
            <w:r w:rsidR="008E0D35" w:rsidRPr="00FA27A9">
              <w:rPr>
                <w:sz w:val="28"/>
                <w:szCs w:val="28"/>
              </w:rPr>
              <w:t>2</w:t>
            </w:r>
            <w:r w:rsidR="009C4707" w:rsidRPr="00FA27A9">
              <w:rPr>
                <w:sz w:val="28"/>
                <w:szCs w:val="28"/>
              </w:rPr>
              <w:t>1</w:t>
            </w:r>
            <w:r w:rsidR="001E4F88" w:rsidRPr="00FA27A9">
              <w:rPr>
                <w:sz w:val="28"/>
                <w:szCs w:val="28"/>
              </w:rPr>
              <w:t xml:space="preserve"> г.</w:t>
            </w:r>
          </w:p>
          <w:p w:rsidR="00392997" w:rsidRPr="00FA27A9" w:rsidRDefault="00FA27A9" w:rsidP="00FA27A9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 w:rsidRPr="00FA27A9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>
              <w:rPr>
                <w:sz w:val="28"/>
                <w:szCs w:val="28"/>
              </w:rPr>
              <w:t xml:space="preserve"> </w:t>
            </w:r>
            <w:r w:rsidR="00392997" w:rsidRPr="00FA27A9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FA27A9">
              <w:rPr>
                <w:sz w:val="28"/>
                <w:szCs w:val="28"/>
              </w:rPr>
              <w:t>15 ноября</w:t>
            </w:r>
            <w:r w:rsidR="00392997" w:rsidRPr="00FA27A9">
              <w:rPr>
                <w:sz w:val="28"/>
                <w:szCs w:val="28"/>
              </w:rPr>
              <w:t xml:space="preserve"> 202</w:t>
            </w:r>
            <w:r w:rsidR="009C4707" w:rsidRPr="00FA27A9">
              <w:rPr>
                <w:sz w:val="28"/>
                <w:szCs w:val="28"/>
              </w:rPr>
              <w:t>1</w:t>
            </w:r>
            <w:r w:rsidR="00392997" w:rsidRPr="00FA27A9">
              <w:rPr>
                <w:sz w:val="28"/>
                <w:szCs w:val="28"/>
              </w:rPr>
              <w:t xml:space="preserve"> года.</w:t>
            </w:r>
          </w:p>
          <w:p w:rsidR="00392997" w:rsidRPr="00FA27A9" w:rsidRDefault="00FA27A9" w:rsidP="00FA27A9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7C4" w:rsidRPr="00FA27A9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FA27A9">
              <w:rPr>
                <w:sz w:val="28"/>
                <w:szCs w:val="28"/>
                <w:lang w:val="en-US"/>
              </w:rPr>
              <w:t>c</w:t>
            </w:r>
            <w:r w:rsidR="00D257C4" w:rsidRPr="00FA27A9">
              <w:rPr>
                <w:sz w:val="28"/>
                <w:szCs w:val="28"/>
              </w:rPr>
              <w:t xml:space="preserve"> периодом заездов во </w:t>
            </w:r>
            <w:r w:rsidR="00D257C4" w:rsidRPr="00FA27A9">
              <w:rPr>
                <w:sz w:val="28"/>
                <w:szCs w:val="28"/>
                <w:lang w:val="en-US"/>
              </w:rPr>
              <w:t>II</w:t>
            </w:r>
            <w:r w:rsidR="00D257C4" w:rsidRPr="00FA27A9">
              <w:rPr>
                <w:sz w:val="28"/>
                <w:szCs w:val="28"/>
              </w:rPr>
              <w:t xml:space="preserve"> - </w:t>
            </w:r>
            <w:r w:rsidR="00D257C4" w:rsidRPr="00FA27A9">
              <w:rPr>
                <w:sz w:val="28"/>
                <w:szCs w:val="28"/>
                <w:lang w:val="en-US"/>
              </w:rPr>
              <w:t>III</w:t>
            </w:r>
            <w:r w:rsidR="00D257C4" w:rsidRPr="00FA27A9">
              <w:rPr>
                <w:sz w:val="28"/>
                <w:szCs w:val="28"/>
              </w:rPr>
              <w:t xml:space="preserve"> кв. 2021г.</w:t>
            </w:r>
          </w:p>
          <w:p w:rsidR="00392997" w:rsidRPr="00FA27A9" w:rsidRDefault="00FA27A9" w:rsidP="00FA27A9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FA27A9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FA27A9" w:rsidRDefault="00FA27A9" w:rsidP="00FA27A9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FA27A9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325703" w:rsidRPr="00FA27A9">
              <w:rPr>
                <w:rFonts w:cs="Arial"/>
                <w:sz w:val="28"/>
                <w:szCs w:val="28"/>
              </w:rPr>
              <w:t>18</w:t>
            </w:r>
            <w:r w:rsidR="00E57C41" w:rsidRPr="00FA27A9">
              <w:rPr>
                <w:rFonts w:cs="Arial"/>
                <w:sz w:val="28"/>
                <w:szCs w:val="28"/>
              </w:rPr>
              <w:t xml:space="preserve"> д</w:t>
            </w:r>
            <w:r w:rsidR="00325703" w:rsidRPr="00FA27A9">
              <w:rPr>
                <w:rFonts w:cs="Arial"/>
                <w:sz w:val="28"/>
                <w:szCs w:val="28"/>
              </w:rPr>
              <w:t>ней</w:t>
            </w:r>
            <w:r w:rsidR="00E57C41" w:rsidRPr="00FA27A9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FA27A9" w:rsidRDefault="00FA27A9" w:rsidP="00FA27A9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A27A9">
              <w:rPr>
                <w:b/>
                <w:i/>
                <w:sz w:val="28"/>
                <w:szCs w:val="28"/>
              </w:rPr>
              <w:t>3</w:t>
            </w:r>
            <w:r w:rsidR="00D936CD" w:rsidRPr="00FA27A9">
              <w:rPr>
                <w:b/>
                <w:i/>
                <w:sz w:val="28"/>
                <w:szCs w:val="28"/>
              </w:rPr>
              <w:t>.</w:t>
            </w:r>
            <w:r w:rsidR="006D692C" w:rsidRPr="00FA27A9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FA27A9" w:rsidRDefault="004A6E54" w:rsidP="00FA27A9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FA27A9">
              <w:rPr>
                <w:b/>
                <w:bCs/>
                <w:sz w:val="28"/>
                <w:szCs w:val="28"/>
              </w:rPr>
              <w:t xml:space="preserve">- </w:t>
            </w:r>
            <w:r w:rsidR="00325703" w:rsidRPr="00FA27A9">
              <w:rPr>
                <w:bCs/>
                <w:sz w:val="28"/>
                <w:szCs w:val="28"/>
              </w:rPr>
              <w:t>18</w:t>
            </w:r>
            <w:r w:rsidRPr="00FA27A9">
              <w:rPr>
                <w:bCs/>
                <w:sz w:val="28"/>
                <w:szCs w:val="28"/>
              </w:rPr>
              <w:t xml:space="preserve"> д</w:t>
            </w:r>
            <w:r w:rsidR="00325703" w:rsidRPr="00FA27A9">
              <w:rPr>
                <w:bCs/>
                <w:sz w:val="28"/>
                <w:szCs w:val="28"/>
              </w:rPr>
              <w:t>ней</w:t>
            </w:r>
            <w:r w:rsidRPr="00FA27A9">
              <w:rPr>
                <w:bCs/>
                <w:sz w:val="28"/>
                <w:szCs w:val="28"/>
              </w:rPr>
              <w:t>.</w:t>
            </w:r>
            <w:r w:rsidR="00FA27A9">
              <w:rPr>
                <w:bCs/>
                <w:sz w:val="28"/>
                <w:szCs w:val="28"/>
              </w:rPr>
              <w:t xml:space="preserve"> </w:t>
            </w:r>
          </w:p>
          <w:p w:rsidR="00800975" w:rsidRPr="00FA27A9" w:rsidRDefault="004A6E54" w:rsidP="00FA27A9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95CC0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1</w:t>
            </w:r>
            <w:r w:rsidR="00407A94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44</w:t>
            </w:r>
            <w:r w:rsidR="00F95CC0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407A94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8</w:t>
            </w:r>
            <w:r w:rsidR="002F77B6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0</w:t>
            </w: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325703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18</w:t>
            </w: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д</w:t>
            </w:r>
            <w:r w:rsidR="00325703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ней</w:t>
            </w:r>
            <w:r w:rsidR="00800975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), в том числе:</w:t>
            </w:r>
          </w:p>
          <w:p w:rsidR="00276E6B" w:rsidRPr="00FA27A9" w:rsidRDefault="00800975" w:rsidP="00FA27A9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взрослого (Койко-день)</w:t>
            </w:r>
            <w:r w:rsidR="00051DEE" w:rsidRPr="00FA27A9">
              <w:rPr>
                <w:rFonts w:eastAsia="Lucida Sans Unicode"/>
                <w:bCs/>
                <w:spacing w:val="-1"/>
                <w:sz w:val="28"/>
                <w:szCs w:val="28"/>
              </w:rPr>
              <w:t>.</w:t>
            </w:r>
            <w:r w:rsidR="00276E6B" w:rsidRPr="00FA27A9">
              <w:rPr>
                <w:sz w:val="28"/>
                <w:szCs w:val="28"/>
              </w:rPr>
              <w:t xml:space="preserve"> </w:t>
            </w:r>
          </w:p>
          <w:p w:rsidR="001E4F88" w:rsidRPr="00FA27A9" w:rsidRDefault="00FA27A9" w:rsidP="00FA27A9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FA27A9">
              <w:rPr>
                <w:b/>
                <w:i/>
                <w:sz w:val="28"/>
                <w:szCs w:val="28"/>
              </w:rPr>
              <w:t>4</w:t>
            </w:r>
            <w:r w:rsidR="00D936CD" w:rsidRPr="00FA27A9">
              <w:rPr>
                <w:b/>
                <w:i/>
                <w:sz w:val="28"/>
                <w:szCs w:val="28"/>
              </w:rPr>
              <w:t>.</w:t>
            </w:r>
            <w:r w:rsidR="001E4F88" w:rsidRPr="00FA27A9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FA27A9" w:rsidRDefault="00A61800" w:rsidP="00FA27A9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spacing w:val="-4"/>
                <w:sz w:val="28"/>
                <w:szCs w:val="28"/>
              </w:rPr>
              <w:t>О</w:t>
            </w:r>
            <w:r w:rsidR="00B346EE" w:rsidRPr="00FA27A9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FA27A9">
              <w:rPr>
                <w:sz w:val="28"/>
                <w:szCs w:val="28"/>
              </w:rPr>
              <w:t>, приказ Минздрава</w:t>
            </w:r>
            <w:r w:rsidR="00FA27A9">
              <w:rPr>
                <w:sz w:val="28"/>
                <w:szCs w:val="28"/>
              </w:rPr>
              <w:t xml:space="preserve"> </w:t>
            </w:r>
            <w:r w:rsidR="00B346EE" w:rsidRPr="00FA27A9">
              <w:rPr>
                <w:sz w:val="28"/>
                <w:szCs w:val="28"/>
              </w:rPr>
              <w:t>России</w:t>
            </w:r>
            <w:r w:rsidR="00FA27A9">
              <w:rPr>
                <w:sz w:val="28"/>
                <w:szCs w:val="28"/>
              </w:rPr>
              <w:t xml:space="preserve"> </w:t>
            </w:r>
            <w:r w:rsidR="00B346EE" w:rsidRPr="00FA27A9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FA27A9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FA27A9">
              <w:rPr>
                <w:bCs/>
                <w:sz w:val="28"/>
                <w:szCs w:val="28"/>
              </w:rPr>
              <w:t xml:space="preserve"> </w:t>
            </w:r>
            <w:r w:rsidR="00B346EE" w:rsidRPr="00FA27A9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FA27A9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FA27A9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FA27A9" w:rsidRDefault="00B346EE" w:rsidP="00FA27A9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sz w:val="28"/>
                <w:szCs w:val="28"/>
              </w:rPr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FA27A9">
              <w:rPr>
                <w:sz w:val="28"/>
                <w:szCs w:val="28"/>
              </w:rPr>
              <w:t>Минздравсоцразвития</w:t>
            </w:r>
            <w:proofErr w:type="spellEnd"/>
            <w:r w:rsidRPr="00FA27A9">
              <w:rPr>
                <w:sz w:val="28"/>
                <w:szCs w:val="28"/>
              </w:rPr>
              <w:t xml:space="preserve"> Российской Федерации от</w:t>
            </w:r>
            <w:r w:rsidR="00FA27A9">
              <w:rPr>
                <w:sz w:val="28"/>
                <w:szCs w:val="28"/>
              </w:rPr>
              <w:t xml:space="preserve"> </w:t>
            </w:r>
            <w:r w:rsidRPr="00FA27A9">
              <w:rPr>
                <w:sz w:val="28"/>
                <w:szCs w:val="28"/>
              </w:rPr>
              <w:t xml:space="preserve">22 ноября </w:t>
            </w:r>
            <w:r w:rsidRPr="00FA27A9">
              <w:rPr>
                <w:sz w:val="28"/>
                <w:szCs w:val="28"/>
              </w:rPr>
              <w:lastRenderedPageBreak/>
              <w:t>2004 г. №256 «О порядке медицинского отбора и направления больных на санаторно-курортное лечение»</w:t>
            </w:r>
            <w:r w:rsidRPr="00FA27A9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FA27A9">
              <w:rPr>
                <w:sz w:val="28"/>
                <w:szCs w:val="28"/>
              </w:rPr>
              <w:t>.</w:t>
            </w:r>
          </w:p>
          <w:p w:rsidR="002B49E6" w:rsidRPr="00FA27A9" w:rsidRDefault="00FA27A9" w:rsidP="00FA27A9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FA27A9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развития Российской Федерации: </w:t>
            </w:r>
          </w:p>
          <w:p w:rsidR="00F07797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A27A9">
              <w:rPr>
                <w:sz w:val="28"/>
                <w:szCs w:val="28"/>
                <w:lang w:eastAsia="ru-RU"/>
              </w:rPr>
              <w:t>от 23.11.2004 N 276 "Об утверждении стандарта санаторно-курортной помощи больным с цереброваскулярными болезнями"</w:t>
            </w:r>
            <w:r w:rsidR="00F07797" w:rsidRPr="00FA27A9">
              <w:rPr>
                <w:bCs/>
                <w:sz w:val="28"/>
                <w:szCs w:val="28"/>
              </w:rPr>
              <w:t>;</w:t>
            </w:r>
            <w:r w:rsidR="00F07797" w:rsidRPr="00FA27A9">
              <w:rPr>
                <w:sz w:val="28"/>
                <w:szCs w:val="28"/>
              </w:rPr>
              <w:t xml:space="preserve"> </w:t>
            </w:r>
          </w:p>
          <w:p w:rsidR="00F07797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A27A9">
              <w:rPr>
                <w:sz w:val="28"/>
                <w:szCs w:val="28"/>
                <w:lang w:eastAsia="ru-RU"/>
              </w:rPr>
              <w:t>от 22.11.2004 N 221 "Об утверждении стандарта санаторно-курортной помощи больным с ишемической болезнью сердца: стенокардией, хронической ИБС"</w:t>
            </w:r>
            <w:r w:rsidR="00F07797" w:rsidRPr="00FA27A9">
              <w:rPr>
                <w:sz w:val="28"/>
                <w:szCs w:val="28"/>
              </w:rPr>
              <w:t>;</w:t>
            </w:r>
          </w:p>
          <w:p w:rsidR="00F07797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07797" w:rsidRPr="00FA27A9">
              <w:rPr>
                <w:sz w:val="28"/>
                <w:szCs w:val="28"/>
                <w:lang w:eastAsia="ru-RU"/>
              </w:rPr>
              <w:t>от 22.11.2004 N 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F07797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07797" w:rsidRPr="00FA27A9">
              <w:rPr>
                <w:sz w:val="28"/>
                <w:szCs w:val="28"/>
                <w:lang w:eastAsia="ru-RU"/>
              </w:rPr>
              <w:t>от 22.11.2004 N 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FA27A9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A27A9">
              <w:rPr>
                <w:sz w:val="28"/>
                <w:szCs w:val="28"/>
                <w:lang w:eastAsia="ru-RU"/>
              </w:rPr>
              <w:t xml:space="preserve">, инфекционные </w:t>
            </w:r>
            <w:proofErr w:type="spellStart"/>
            <w:r w:rsidR="00F07797" w:rsidRPr="00FA27A9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A27A9">
              <w:rPr>
                <w:sz w:val="28"/>
                <w:szCs w:val="28"/>
                <w:lang w:eastAsia="ru-RU"/>
              </w:rPr>
              <w:t xml:space="preserve">, воспалительные </w:t>
            </w:r>
            <w:proofErr w:type="spellStart"/>
            <w:r w:rsidR="00F07797" w:rsidRPr="00FA27A9">
              <w:rPr>
                <w:sz w:val="28"/>
                <w:szCs w:val="28"/>
                <w:lang w:eastAsia="ru-RU"/>
              </w:rPr>
              <w:t>артропатии</w:t>
            </w:r>
            <w:proofErr w:type="spellEnd"/>
            <w:r w:rsidR="00F07797" w:rsidRPr="00FA27A9">
              <w:rPr>
                <w:sz w:val="28"/>
                <w:szCs w:val="28"/>
                <w:lang w:eastAsia="ru-RU"/>
              </w:rPr>
              <w:t>, артрозы, другие поражения суставов)";</w:t>
            </w:r>
          </w:p>
          <w:p w:rsidR="00F07797" w:rsidRPr="00FA27A9" w:rsidRDefault="00FA27A9" w:rsidP="00FA27A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 xml:space="preserve">от 22.11.2004 N 208 </w:t>
            </w:r>
            <w:r w:rsidR="00F07797" w:rsidRPr="00FA27A9">
              <w:rPr>
                <w:sz w:val="28"/>
                <w:szCs w:val="28"/>
              </w:rPr>
              <w:t>"</w:t>
            </w:r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дорсопатии</w:t>
            </w:r>
            <w:proofErr w:type="spellEnd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спондилопатии</w:t>
            </w:r>
            <w:proofErr w:type="spellEnd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 xml:space="preserve">, болезни мягких тканей, </w:t>
            </w:r>
            <w:proofErr w:type="spellStart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остеопатии</w:t>
            </w:r>
            <w:proofErr w:type="spellEnd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хондропатии</w:t>
            </w:r>
            <w:proofErr w:type="spellEnd"/>
            <w:r w:rsidR="00F07797" w:rsidRPr="00FA27A9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F07797" w:rsidRPr="00FA27A9">
              <w:rPr>
                <w:sz w:val="28"/>
                <w:szCs w:val="28"/>
              </w:rPr>
              <w:t>";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</w:p>
          <w:p w:rsidR="00227656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7656" w:rsidRPr="00FA27A9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227656" w:rsidRPr="00FA27A9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227656" w:rsidRPr="00FA27A9">
              <w:rPr>
                <w:sz w:val="28"/>
                <w:szCs w:val="28"/>
              </w:rPr>
              <w:t>полиневропатиями</w:t>
            </w:r>
            <w:proofErr w:type="spellEnd"/>
            <w:r w:rsidR="00227656" w:rsidRPr="00FA27A9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227656" w:rsidRPr="00FA27A9" w:rsidRDefault="00FA27A9" w:rsidP="00FA27A9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27656" w:rsidRPr="00FA27A9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227656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227656" w:rsidRPr="00FA27A9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диабетом",</w:t>
            </w:r>
          </w:p>
          <w:p w:rsidR="00227656" w:rsidRPr="00FA27A9" w:rsidRDefault="00FA27A9" w:rsidP="00FA27A9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7656" w:rsidRPr="00FA27A9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227656" w:rsidRPr="00FA27A9">
              <w:rPr>
                <w:sz w:val="28"/>
                <w:szCs w:val="28"/>
              </w:rPr>
              <w:t>.</w:t>
            </w:r>
          </w:p>
          <w:p w:rsidR="006865BF" w:rsidRPr="00FA27A9" w:rsidRDefault="002B49E6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FA27A9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FA27A9" w:rsidRDefault="00AF2A0F" w:rsidP="00FA27A9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 xml:space="preserve"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</w:t>
            </w:r>
            <w:r w:rsidR="007761FA" w:rsidRPr="00FA27A9">
              <w:rPr>
                <w:bCs/>
                <w:sz w:val="28"/>
                <w:szCs w:val="28"/>
              </w:rPr>
              <w:t xml:space="preserve">должна </w:t>
            </w:r>
            <w:r w:rsidRPr="00FA27A9">
              <w:rPr>
                <w:bCs/>
                <w:sz w:val="28"/>
                <w:szCs w:val="28"/>
              </w:rPr>
              <w:t>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FA27A9" w:rsidRDefault="000C4220" w:rsidP="00FA27A9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FA27A9">
              <w:rPr>
                <w:b/>
                <w:i/>
                <w:sz w:val="28"/>
                <w:szCs w:val="28"/>
              </w:rPr>
              <w:t>5</w:t>
            </w:r>
            <w:r w:rsidR="006D692C" w:rsidRPr="00FA27A9">
              <w:rPr>
                <w:b/>
                <w:i/>
                <w:sz w:val="28"/>
                <w:szCs w:val="28"/>
              </w:rPr>
              <w:t>.</w:t>
            </w:r>
            <w:r w:rsidR="006D692C" w:rsidRPr="00FA27A9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FA27A9" w:rsidRDefault="00FA27A9" w:rsidP="00FA27A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588F" w:rsidRPr="00FA27A9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FA27A9">
              <w:rPr>
                <w:sz w:val="28"/>
                <w:szCs w:val="28"/>
              </w:rPr>
              <w:t>пр</w:t>
            </w:r>
            <w:proofErr w:type="spellEnd"/>
            <w:r w:rsidR="0089588F" w:rsidRPr="00FA27A9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FA27A9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FA27A9">
              <w:rPr>
                <w:sz w:val="28"/>
                <w:szCs w:val="28"/>
              </w:rPr>
              <w:t xml:space="preserve"> среда, наличие пандусов, расширенных </w:t>
            </w:r>
            <w:r w:rsidR="0089588F" w:rsidRPr="00FA27A9">
              <w:rPr>
                <w:sz w:val="28"/>
                <w:szCs w:val="28"/>
              </w:rPr>
              <w:lastRenderedPageBreak/>
              <w:t>дверных проемов, обеспечивающих доступ больных на колясках и др.</w:t>
            </w:r>
          </w:p>
          <w:p w:rsidR="007900C3" w:rsidRPr="00FA27A9" w:rsidRDefault="007900C3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FA27A9" w:rsidRDefault="007900C3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FA27A9" w:rsidRDefault="007900C3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FA27A9" w:rsidRDefault="007900C3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FA27A9" w:rsidRDefault="007900C3" w:rsidP="00FA27A9">
            <w:pPr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FA27A9" w:rsidRDefault="00D82BC3" w:rsidP="00FA27A9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FA27A9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FA27A9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FA27A9">
              <w:rPr>
                <w:sz w:val="28"/>
                <w:szCs w:val="28"/>
              </w:rPr>
              <w:t xml:space="preserve"> </w:t>
            </w:r>
          </w:p>
          <w:p w:rsidR="007900C3" w:rsidRPr="00FA27A9" w:rsidRDefault="007900C3" w:rsidP="00FA27A9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FA27A9" w:rsidRDefault="00FA27A9" w:rsidP="00FA27A9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FA27A9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FA27A9" w:rsidRDefault="00D936CD" w:rsidP="00FA27A9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FA27A9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FA27A9" w:rsidRDefault="00D936CD" w:rsidP="00FA27A9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FA27A9">
              <w:rPr>
                <w:sz w:val="28"/>
                <w:szCs w:val="28"/>
              </w:rPr>
              <w:t xml:space="preserve"> </w:t>
            </w:r>
            <w:r w:rsidR="000C4220" w:rsidRPr="00FA27A9">
              <w:rPr>
                <w:b/>
                <w:i/>
                <w:sz w:val="28"/>
                <w:szCs w:val="28"/>
              </w:rPr>
              <w:t>6</w:t>
            </w:r>
            <w:r w:rsidRPr="00FA27A9">
              <w:rPr>
                <w:b/>
                <w:sz w:val="28"/>
                <w:szCs w:val="28"/>
              </w:rPr>
              <w:t>.</w:t>
            </w:r>
            <w:r w:rsidR="00FA27A9">
              <w:rPr>
                <w:b/>
                <w:sz w:val="28"/>
                <w:szCs w:val="28"/>
              </w:rPr>
              <w:t xml:space="preserve"> </w:t>
            </w:r>
            <w:r w:rsidRPr="00FA27A9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FA27A9" w:rsidRDefault="00D936CD" w:rsidP="00FA27A9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FA27A9">
              <w:rPr>
                <w:sz w:val="28"/>
                <w:szCs w:val="28"/>
              </w:rPr>
              <w:t xml:space="preserve">При работе с персональными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446FC4" w:rsidRPr="00FA27A9" w:rsidRDefault="006D692C" w:rsidP="00A67E38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FA27A9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A67E38">
              <w:rPr>
                <w:sz w:val="28"/>
                <w:szCs w:val="28"/>
              </w:rPr>
              <w:t>"</w:t>
            </w:r>
            <w:bookmarkStart w:id="0" w:name="_GoBack"/>
            <w:bookmarkEnd w:id="0"/>
            <w:r w:rsidR="00D936CD" w:rsidRPr="00FA27A9">
              <w:rPr>
                <w:sz w:val="28"/>
                <w:szCs w:val="28"/>
              </w:rPr>
              <w:t xml:space="preserve"> и</w:t>
            </w:r>
            <w:r w:rsidRPr="00FA27A9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</w:p>
        </w:tc>
      </w:tr>
    </w:tbl>
    <w:p w:rsidR="00121F17" w:rsidRPr="00FA27A9" w:rsidRDefault="00121F17" w:rsidP="00D56D9F">
      <w:pPr>
        <w:widowControl w:val="0"/>
        <w:rPr>
          <w:b/>
          <w:bCs/>
          <w:sz w:val="27"/>
          <w:szCs w:val="27"/>
        </w:rPr>
      </w:pPr>
    </w:p>
    <w:sectPr w:rsidR="00121F17" w:rsidRPr="00FA27A9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D3F" w:rsidRDefault="00511D3F">
      <w:r>
        <w:separator/>
      </w:r>
    </w:p>
  </w:endnote>
  <w:endnote w:type="continuationSeparator" w:id="0">
    <w:p w:rsidR="00511D3F" w:rsidRDefault="005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D3F" w:rsidRDefault="00511D3F">
      <w:r>
        <w:separator/>
      </w:r>
    </w:p>
  </w:footnote>
  <w:footnote w:type="continuationSeparator" w:id="0">
    <w:p w:rsidR="00511D3F" w:rsidRDefault="0051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FC4" w:rsidRDefault="00446FC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1DEE"/>
    <w:rsid w:val="000520DC"/>
    <w:rsid w:val="00070CBE"/>
    <w:rsid w:val="00093029"/>
    <w:rsid w:val="00095803"/>
    <w:rsid w:val="000B4EC6"/>
    <w:rsid w:val="000B6A6F"/>
    <w:rsid w:val="000C4220"/>
    <w:rsid w:val="000C47BF"/>
    <w:rsid w:val="000D4059"/>
    <w:rsid w:val="0010539D"/>
    <w:rsid w:val="001177A4"/>
    <w:rsid w:val="00121F17"/>
    <w:rsid w:val="00127C4E"/>
    <w:rsid w:val="00146008"/>
    <w:rsid w:val="00154109"/>
    <w:rsid w:val="00161B22"/>
    <w:rsid w:val="00163031"/>
    <w:rsid w:val="001801D4"/>
    <w:rsid w:val="001922A7"/>
    <w:rsid w:val="001956F9"/>
    <w:rsid w:val="00197FAA"/>
    <w:rsid w:val="001A12A9"/>
    <w:rsid w:val="001D2684"/>
    <w:rsid w:val="001D36F6"/>
    <w:rsid w:val="001E4F88"/>
    <w:rsid w:val="001F31D0"/>
    <w:rsid w:val="001F38E6"/>
    <w:rsid w:val="001F3A0E"/>
    <w:rsid w:val="00205EEC"/>
    <w:rsid w:val="002073BA"/>
    <w:rsid w:val="00227656"/>
    <w:rsid w:val="00243484"/>
    <w:rsid w:val="002530B4"/>
    <w:rsid w:val="002603E9"/>
    <w:rsid w:val="0026452A"/>
    <w:rsid w:val="002755F4"/>
    <w:rsid w:val="00276E6B"/>
    <w:rsid w:val="0028170C"/>
    <w:rsid w:val="002832D7"/>
    <w:rsid w:val="00283B29"/>
    <w:rsid w:val="002903E5"/>
    <w:rsid w:val="002B49E6"/>
    <w:rsid w:val="002B5B52"/>
    <w:rsid w:val="002D2064"/>
    <w:rsid w:val="002D3B20"/>
    <w:rsid w:val="002F77B6"/>
    <w:rsid w:val="00325703"/>
    <w:rsid w:val="00330299"/>
    <w:rsid w:val="00335BD9"/>
    <w:rsid w:val="00350DE4"/>
    <w:rsid w:val="0037432B"/>
    <w:rsid w:val="00392997"/>
    <w:rsid w:val="003A5FDE"/>
    <w:rsid w:val="003B5A06"/>
    <w:rsid w:val="003D1EA2"/>
    <w:rsid w:val="003E392A"/>
    <w:rsid w:val="00402714"/>
    <w:rsid w:val="0040773A"/>
    <w:rsid w:val="00407A94"/>
    <w:rsid w:val="00423E44"/>
    <w:rsid w:val="00424409"/>
    <w:rsid w:val="00446FC4"/>
    <w:rsid w:val="004673A6"/>
    <w:rsid w:val="0047117F"/>
    <w:rsid w:val="00476D2F"/>
    <w:rsid w:val="00481225"/>
    <w:rsid w:val="004A6E54"/>
    <w:rsid w:val="004F351E"/>
    <w:rsid w:val="00502EED"/>
    <w:rsid w:val="00511D3F"/>
    <w:rsid w:val="005342EE"/>
    <w:rsid w:val="005344D5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6000F1"/>
    <w:rsid w:val="006773C8"/>
    <w:rsid w:val="006865BF"/>
    <w:rsid w:val="00687915"/>
    <w:rsid w:val="006A6438"/>
    <w:rsid w:val="006C2985"/>
    <w:rsid w:val="006C324B"/>
    <w:rsid w:val="006C4F63"/>
    <w:rsid w:val="006C7768"/>
    <w:rsid w:val="006D21A4"/>
    <w:rsid w:val="006D692C"/>
    <w:rsid w:val="00720F20"/>
    <w:rsid w:val="00734C32"/>
    <w:rsid w:val="00744F39"/>
    <w:rsid w:val="00773220"/>
    <w:rsid w:val="007761FA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00975"/>
    <w:rsid w:val="0082518E"/>
    <w:rsid w:val="00855224"/>
    <w:rsid w:val="008726F0"/>
    <w:rsid w:val="0089588F"/>
    <w:rsid w:val="008E0D35"/>
    <w:rsid w:val="008E7D0B"/>
    <w:rsid w:val="00903B5E"/>
    <w:rsid w:val="009047DD"/>
    <w:rsid w:val="00947209"/>
    <w:rsid w:val="009C4707"/>
    <w:rsid w:val="009E266E"/>
    <w:rsid w:val="009E45B7"/>
    <w:rsid w:val="009F10A6"/>
    <w:rsid w:val="00A00111"/>
    <w:rsid w:val="00A416B8"/>
    <w:rsid w:val="00A55BAA"/>
    <w:rsid w:val="00A61800"/>
    <w:rsid w:val="00A67E38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F2A0F"/>
    <w:rsid w:val="00AF3625"/>
    <w:rsid w:val="00B06027"/>
    <w:rsid w:val="00B07BCF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433B6"/>
    <w:rsid w:val="00C760A3"/>
    <w:rsid w:val="00C86F1F"/>
    <w:rsid w:val="00CC42D4"/>
    <w:rsid w:val="00CD6FE5"/>
    <w:rsid w:val="00D030D1"/>
    <w:rsid w:val="00D079B0"/>
    <w:rsid w:val="00D257C4"/>
    <w:rsid w:val="00D42A39"/>
    <w:rsid w:val="00D44E4F"/>
    <w:rsid w:val="00D56D9F"/>
    <w:rsid w:val="00D61F52"/>
    <w:rsid w:val="00D82BC3"/>
    <w:rsid w:val="00D936CD"/>
    <w:rsid w:val="00DC59B9"/>
    <w:rsid w:val="00DC5AB3"/>
    <w:rsid w:val="00DD2FC0"/>
    <w:rsid w:val="00E20539"/>
    <w:rsid w:val="00E216A8"/>
    <w:rsid w:val="00E4306F"/>
    <w:rsid w:val="00E5702D"/>
    <w:rsid w:val="00E57C41"/>
    <w:rsid w:val="00E64EFB"/>
    <w:rsid w:val="00E759CC"/>
    <w:rsid w:val="00E82856"/>
    <w:rsid w:val="00EA5093"/>
    <w:rsid w:val="00EE1F06"/>
    <w:rsid w:val="00EE5869"/>
    <w:rsid w:val="00F07797"/>
    <w:rsid w:val="00F27C21"/>
    <w:rsid w:val="00F33B75"/>
    <w:rsid w:val="00F40D86"/>
    <w:rsid w:val="00F56726"/>
    <w:rsid w:val="00F70F9D"/>
    <w:rsid w:val="00F808D8"/>
    <w:rsid w:val="00F8347C"/>
    <w:rsid w:val="00F87D3C"/>
    <w:rsid w:val="00F95CC0"/>
    <w:rsid w:val="00FA181A"/>
    <w:rsid w:val="00FA27A9"/>
    <w:rsid w:val="00FA46BA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896C097-E47E-4321-B43F-E8F6638A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4</cp:revision>
  <cp:lastPrinted>2020-12-02T05:19:00Z</cp:lastPrinted>
  <dcterms:created xsi:type="dcterms:W3CDTF">2020-12-02T06:16:00Z</dcterms:created>
  <dcterms:modified xsi:type="dcterms:W3CDTF">2020-12-02T06:22:00Z</dcterms:modified>
</cp:coreProperties>
</file>