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D5" w:rsidRDefault="00D25ED5" w:rsidP="004902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аукцион</w:t>
      </w:r>
    </w:p>
    <w:p w:rsidR="0049024F" w:rsidRDefault="0049024F" w:rsidP="0049024F">
      <w:pPr>
        <w:pStyle w:val="a3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Поставка подгузников для взрослых для обеспечения инвалидов в 20</w:t>
      </w:r>
      <w:r>
        <w:rPr>
          <w:rFonts w:ascii="Times New Roman" w:hAnsi="Times New Roman" w:cs="Times New Roman"/>
        </w:rPr>
        <w:t>21</w:t>
      </w:r>
      <w:r w:rsidRPr="00325161">
        <w:rPr>
          <w:rFonts w:ascii="Times New Roman" w:hAnsi="Times New Roman" w:cs="Times New Roman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3203"/>
        <w:gridCol w:w="9188"/>
        <w:gridCol w:w="1474"/>
      </w:tblGrid>
      <w:tr w:rsidR="0049024F" w:rsidTr="00245964">
        <w:tc>
          <w:tcPr>
            <w:tcW w:w="704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98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83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49024F" w:rsidTr="00245964">
        <w:tc>
          <w:tcPr>
            <w:tcW w:w="704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9498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C4352D">
              <w:rPr>
                <w:rFonts w:ascii="Times New Roman" w:hAnsi="Times New Roman" w:cs="Times New Roman"/>
              </w:rPr>
              <w:t>суперабсорбента</w:t>
            </w:r>
            <w:proofErr w:type="spellEnd"/>
            <w:r w:rsidRPr="00C4352D">
              <w:rPr>
                <w:rFonts w:ascii="Times New Roman" w:hAnsi="Times New Roman" w:cs="Times New Roman"/>
              </w:rPr>
              <w:t xml:space="preserve"> на основе полимеров акриловой кислоты, должен поглощать и удерживать впитываемую жидкость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Должен быть индикатор наполнения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человека.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Фиксирующие элементы на задней части подгузника для фиксации его в нужном положении на талии человека должны быть в виде стяжки или </w:t>
            </w:r>
            <w:proofErr w:type="gramStart"/>
            <w:r w:rsidRPr="00C4352D">
              <w:rPr>
                <w:rFonts w:ascii="Times New Roman" w:hAnsi="Times New Roman" w:cs="Times New Roman"/>
              </w:rPr>
              <w:t>поясной резинки</w:t>
            </w:r>
            <w:proofErr w:type="gramEnd"/>
            <w:r w:rsidRPr="00C4352D">
              <w:rPr>
                <w:rFonts w:ascii="Times New Roman" w:hAnsi="Times New Roman" w:cs="Times New Roman"/>
              </w:rPr>
              <w:t xml:space="preserve"> или эластичного пояса.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Крепление на передней поверхности подгузника, выдерживающее нагрузку на отрывание или отклеивание должно быть в виде застежек-липучек или широких застежек. 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Полное влагопоглощение должно быть не менее 1 400 г.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Обратная сорбция должна быть не более 4,4 г.</w:t>
            </w:r>
          </w:p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Скорость впитывания должна быть не менее 2,3 см куб. в секунду.</w:t>
            </w:r>
          </w:p>
        </w:tc>
        <w:tc>
          <w:tcPr>
            <w:tcW w:w="1483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70 000</w:t>
            </w:r>
          </w:p>
        </w:tc>
      </w:tr>
      <w:tr w:rsidR="0049024F" w:rsidTr="00245964">
        <w:tc>
          <w:tcPr>
            <w:tcW w:w="704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9498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C4352D">
              <w:rPr>
                <w:rFonts w:ascii="Times New Roman" w:hAnsi="Times New Roman" w:cs="Times New Roman"/>
              </w:rPr>
              <w:t>суперабсорбента</w:t>
            </w:r>
            <w:proofErr w:type="spellEnd"/>
            <w:r w:rsidRPr="00C4352D">
              <w:rPr>
                <w:rFonts w:ascii="Times New Roman" w:hAnsi="Times New Roman" w:cs="Times New Roman"/>
              </w:rPr>
              <w:t xml:space="preserve"> на основе полимеров акриловой кислоты, должен поглощать и удерживать впитываемую жидкость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Должен быть индикатор наполнения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человека.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Фиксирующие элементы на задней части подгузника для фиксации его в нужном положении на талии человека должны быть в виде стяжки или </w:t>
            </w:r>
            <w:proofErr w:type="gramStart"/>
            <w:r w:rsidRPr="00C4352D">
              <w:rPr>
                <w:rFonts w:ascii="Times New Roman" w:hAnsi="Times New Roman" w:cs="Times New Roman"/>
              </w:rPr>
              <w:t>поясной резинки</w:t>
            </w:r>
            <w:proofErr w:type="gramEnd"/>
            <w:r w:rsidRPr="00C4352D">
              <w:rPr>
                <w:rFonts w:ascii="Times New Roman" w:hAnsi="Times New Roman" w:cs="Times New Roman"/>
              </w:rPr>
              <w:t xml:space="preserve"> или эластичного пояса.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Крепление на передней поверхности подгузника, выдерживающее нагрузку на отрывание или отклеивание должно быть в виде застежек-липучек или широких застежек. 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Полное влагопоглощение должно быть   не менее 2 000 г.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Обратная сорбция должна быть не более 4,4 г.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Скорость впитывания должна быть не менее 2,3 см куб. в секунду.</w:t>
            </w:r>
          </w:p>
        </w:tc>
        <w:tc>
          <w:tcPr>
            <w:tcW w:w="1483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192 000</w:t>
            </w:r>
          </w:p>
        </w:tc>
      </w:tr>
      <w:tr w:rsidR="0049024F" w:rsidTr="00245964">
        <w:tc>
          <w:tcPr>
            <w:tcW w:w="704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9498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C4352D">
              <w:rPr>
                <w:rFonts w:ascii="Times New Roman" w:hAnsi="Times New Roman" w:cs="Times New Roman"/>
              </w:rPr>
              <w:t>суперабсорбента</w:t>
            </w:r>
            <w:proofErr w:type="spellEnd"/>
            <w:r w:rsidRPr="00C4352D">
              <w:rPr>
                <w:rFonts w:ascii="Times New Roman" w:hAnsi="Times New Roman" w:cs="Times New Roman"/>
              </w:rPr>
              <w:t xml:space="preserve"> на основе полимеров акриловой кислоты, должен поглощать и удерживать впитываемую жидкость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Должен быть индикатор наполнения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lastRenderedPageBreak/>
              <w:t>Должны быть боковые оборки, барьеры в виде дуги через пах со стягивающими их резинками, предотвращающие проникновение жидкости на кожу человека.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Фиксирующие элементы на задней части подгузника для фиксации его в нужном положении на талии человека должны быть в виде стяжки или </w:t>
            </w:r>
            <w:proofErr w:type="gramStart"/>
            <w:r w:rsidRPr="00C4352D">
              <w:rPr>
                <w:rFonts w:ascii="Times New Roman" w:hAnsi="Times New Roman" w:cs="Times New Roman"/>
              </w:rPr>
              <w:t>поясной резинки</w:t>
            </w:r>
            <w:proofErr w:type="gramEnd"/>
            <w:r w:rsidRPr="00C4352D">
              <w:rPr>
                <w:rFonts w:ascii="Times New Roman" w:hAnsi="Times New Roman" w:cs="Times New Roman"/>
              </w:rPr>
              <w:t xml:space="preserve"> или эластичного пояса.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Крепление на передней поверхности подгузника, выдерживающее нагрузку на отрывание или отклеивание должно быть в виде застежек-липучек или широких застежек. 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Полное влагопоглощение должно быть не менее 1 800 г.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Обратная сорбция должна быть не более 4,4 г.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Скорость впитывания должна быть не менее 2,3 см куб. в секунду.</w:t>
            </w:r>
          </w:p>
        </w:tc>
        <w:tc>
          <w:tcPr>
            <w:tcW w:w="1483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lastRenderedPageBreak/>
              <w:t>251 000</w:t>
            </w:r>
          </w:p>
        </w:tc>
      </w:tr>
      <w:tr w:rsidR="0049024F" w:rsidTr="00245964">
        <w:tc>
          <w:tcPr>
            <w:tcW w:w="704" w:type="dxa"/>
          </w:tcPr>
          <w:p w:rsidR="0049024F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0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9498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C4352D">
              <w:rPr>
                <w:rFonts w:ascii="Times New Roman" w:hAnsi="Times New Roman" w:cs="Times New Roman"/>
              </w:rPr>
              <w:t>суперабсорбента</w:t>
            </w:r>
            <w:proofErr w:type="spellEnd"/>
            <w:r w:rsidRPr="00C4352D">
              <w:rPr>
                <w:rFonts w:ascii="Times New Roman" w:hAnsi="Times New Roman" w:cs="Times New Roman"/>
              </w:rPr>
              <w:t xml:space="preserve"> на основе полимеров акриловой кислоты, должен поглощать и удерживать впитываемую жидкость внутри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Должен быть индикатор наполнения подгузника.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человека.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Фиксирующие элементы на задней части подгузника для фиксации его в нужном положении на талии человека должны быть в виде стяжки или </w:t>
            </w:r>
            <w:proofErr w:type="gramStart"/>
            <w:r w:rsidRPr="00C4352D">
              <w:rPr>
                <w:rFonts w:ascii="Times New Roman" w:hAnsi="Times New Roman" w:cs="Times New Roman"/>
              </w:rPr>
              <w:t>поясной резинки</w:t>
            </w:r>
            <w:proofErr w:type="gramEnd"/>
            <w:r w:rsidRPr="00C4352D">
              <w:rPr>
                <w:rFonts w:ascii="Times New Roman" w:hAnsi="Times New Roman" w:cs="Times New Roman"/>
              </w:rPr>
              <w:t xml:space="preserve"> или эластичного пояса.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 xml:space="preserve">Крепление на передней поверхности подгузника, выдерживающее нагрузку на отрывание или отклеивание должно быть в виде застежек-липучек или широких застежек. 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Полное влагопоглощение должно быть не менее 2 800 г.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Обратная сорбция должна быть не более 4,4 г.</w:t>
            </w:r>
          </w:p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Скорость впитывания должна быть не менее 2,3 см куб. в секунду.</w:t>
            </w:r>
          </w:p>
        </w:tc>
        <w:tc>
          <w:tcPr>
            <w:tcW w:w="1483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46 000</w:t>
            </w:r>
          </w:p>
        </w:tc>
      </w:tr>
      <w:tr w:rsidR="0049024F" w:rsidTr="00245964">
        <w:tc>
          <w:tcPr>
            <w:tcW w:w="13462" w:type="dxa"/>
            <w:gridSpan w:val="3"/>
          </w:tcPr>
          <w:p w:rsidR="0049024F" w:rsidRPr="00C4352D" w:rsidRDefault="0049024F" w:rsidP="0024596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83" w:type="dxa"/>
          </w:tcPr>
          <w:p w:rsidR="0049024F" w:rsidRPr="00C4352D" w:rsidRDefault="0049024F" w:rsidP="00245964">
            <w:pPr>
              <w:pStyle w:val="a3"/>
              <w:rPr>
                <w:rFonts w:ascii="Times New Roman" w:hAnsi="Times New Roman" w:cs="Times New Roman"/>
              </w:rPr>
            </w:pPr>
            <w:r w:rsidRPr="00C4352D">
              <w:rPr>
                <w:rFonts w:ascii="Times New Roman" w:hAnsi="Times New Roman" w:cs="Times New Roman"/>
              </w:rPr>
              <w:t>559 000</w:t>
            </w:r>
          </w:p>
        </w:tc>
      </w:tr>
    </w:tbl>
    <w:p w:rsidR="0049024F" w:rsidRPr="00325161" w:rsidRDefault="0049024F" w:rsidP="0049024F">
      <w:pPr>
        <w:pStyle w:val="a3"/>
        <w:rPr>
          <w:rFonts w:ascii="Times New Roman" w:hAnsi="Times New Roman" w:cs="Times New Roman"/>
        </w:rPr>
      </w:pPr>
    </w:p>
    <w:p w:rsidR="0049024F" w:rsidRPr="00325161" w:rsidRDefault="0049024F" w:rsidP="0049024F">
      <w:pPr>
        <w:pStyle w:val="a3"/>
        <w:jc w:val="both"/>
        <w:rPr>
          <w:rFonts w:ascii="Times New Roman" w:hAnsi="Times New Roman" w:cs="Times New Roman"/>
          <w:bCs/>
          <w:i/>
        </w:rPr>
      </w:pPr>
    </w:p>
    <w:p w:rsidR="00845F07" w:rsidRPr="00325161" w:rsidRDefault="00845F07" w:rsidP="00845F07">
      <w:pPr>
        <w:pStyle w:val="11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845F07" w:rsidRPr="00325161" w:rsidRDefault="00845F07" w:rsidP="00845F07">
      <w:pPr>
        <w:tabs>
          <w:tab w:val="left" w:pos="81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sz w:val="22"/>
          <w:szCs w:val="22"/>
        </w:rPr>
        <w:t xml:space="preserve">    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845F07" w:rsidRPr="00325161" w:rsidRDefault="00845F07" w:rsidP="00845F07">
      <w:pPr>
        <w:pStyle w:val="11"/>
        <w:ind w:firstLine="708"/>
        <w:jc w:val="both"/>
        <w:rPr>
          <w:rFonts w:ascii="Times New Roman" w:hAnsi="Times New Roman" w:cs="Times New Roman"/>
          <w:b/>
          <w:bCs/>
        </w:rPr>
      </w:pPr>
      <w:r w:rsidRPr="00325161">
        <w:rPr>
          <w:rFonts w:ascii="Times New Roman" w:hAnsi="Times New Roman" w:cs="Times New Roman"/>
          <w:b/>
        </w:rPr>
        <w:t xml:space="preserve">  </w:t>
      </w:r>
      <w:r w:rsidRPr="00325161">
        <w:rPr>
          <w:rFonts w:ascii="Times New Roman" w:hAnsi="Times New Roman" w:cs="Times New Roman"/>
        </w:rPr>
        <w:t xml:space="preserve">Подгузники должны соответствовать </w:t>
      </w:r>
      <w:r w:rsidRPr="00325161">
        <w:rPr>
          <w:rFonts w:ascii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325161">
        <w:rPr>
          <w:rFonts w:ascii="Times New Roman" w:hAnsi="Times New Roman" w:cs="Times New Roman"/>
        </w:rPr>
        <w:t>, а также стандартам серии ГОСТ Р ИСО 10993-1-2011 «Изделия медицинские. Оценка биологического действия медицинских изделий», ГОСТ Р ИСО 10993-5-2011 «Изделия медицинские. Оценка биологического действия медицинских изделий», ГОСТ Р ИСО 10993-10-2011 «Изделия медицинские. 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845F07" w:rsidRPr="00325161" w:rsidRDefault="00845F07" w:rsidP="00845F07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25161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t>Поставщик обязан предоставить: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</w:t>
      </w:r>
      <w:r>
        <w:rPr>
          <w:rFonts w:ascii="Times New Roman" w:hAnsi="Times New Roman" w:cs="Times New Roman"/>
          <w:sz w:val="22"/>
          <w:szCs w:val="22"/>
          <w:u w:val="single"/>
        </w:rPr>
        <w:t>ю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t xml:space="preserve"> о соответствии, подтверждающ</w:t>
      </w:r>
      <w:r>
        <w:rPr>
          <w:rFonts w:ascii="Times New Roman" w:hAnsi="Times New Roman" w:cs="Times New Roman"/>
          <w:sz w:val="22"/>
          <w:szCs w:val="22"/>
          <w:u w:val="single"/>
        </w:rPr>
        <w:t>ую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t xml:space="preserve"> безопасность подгузников для здоровья человека. </w:t>
      </w:r>
      <w:r w:rsidRPr="00BE783B">
        <w:rPr>
          <w:rFonts w:ascii="Times New Roman" w:hAnsi="Times New Roman" w:cs="Times New Roman"/>
          <w:sz w:val="22"/>
          <w:szCs w:val="22"/>
          <w:u w:val="single"/>
        </w:rPr>
        <w:t>При поставке Товара, подлежащего обязательному подтверждению соответствия в порядке, установленном Федеральным законом от 27.12.2002 N 184-ФЗ "О техническом регулировании", такой товар должен иметь документы, подтверждающие соответствие Товара установленным требованиям.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845F07" w:rsidRPr="00325161" w:rsidRDefault="00845F07" w:rsidP="00845F07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bCs/>
          <w:kern w:val="36"/>
          <w:sz w:val="22"/>
          <w:szCs w:val="22"/>
        </w:rPr>
        <w:t>В соответствии с пунктом 5.1. раздела 5 ГОСТ Р 55082-2012 «Изделия бумажные медицинского назначения. Подгузники для взрослых. Общие технические условия.»</w:t>
      </w:r>
      <w:r w:rsidRPr="00325161">
        <w:rPr>
          <w:rFonts w:ascii="Times New Roman" w:hAnsi="Times New Roman" w:cs="Times New Roman"/>
          <w:sz w:val="22"/>
          <w:szCs w:val="22"/>
        </w:rPr>
        <w:t xml:space="preserve"> подгузники изготавливают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15.009.</w:t>
      </w:r>
    </w:p>
    <w:p w:rsidR="00845F07" w:rsidRPr="00325161" w:rsidRDefault="00845F07" w:rsidP="00845F07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 xml:space="preserve">При поставке партии подгузников Поставщиком предоставляются: </w:t>
      </w:r>
    </w:p>
    <w:p w:rsidR="00845F07" w:rsidRPr="00325161" w:rsidRDefault="00845F07" w:rsidP="00845F07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845F07" w:rsidRPr="00325161" w:rsidRDefault="00845F07" w:rsidP="00845F07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 технические условия на выпускаемую продукцию (при наличии);</w:t>
      </w:r>
    </w:p>
    <w:p w:rsidR="00845F07" w:rsidRPr="00325161" w:rsidRDefault="00845F07" w:rsidP="00845F07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 xml:space="preserve">  - технологический регламент на выпускаемую продукцию (при наличии);</w:t>
      </w:r>
    </w:p>
    <w:p w:rsidR="00845F07" w:rsidRPr="00325161" w:rsidRDefault="00845F07" w:rsidP="00845F07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845F07" w:rsidRPr="00325161" w:rsidRDefault="00845F07" w:rsidP="00845F07">
      <w:pPr>
        <w:pStyle w:val="1"/>
        <w:numPr>
          <w:ilvl w:val="0"/>
          <w:numId w:val="2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</w:p>
    <w:p w:rsidR="00845F07" w:rsidRPr="00325161" w:rsidRDefault="00845F07" w:rsidP="00845F07">
      <w:pPr>
        <w:pStyle w:val="1"/>
        <w:numPr>
          <w:ilvl w:val="0"/>
          <w:numId w:val="2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  <w:bookmarkStart w:id="0" w:name="_Toc531793260"/>
      <w:r w:rsidRPr="00325161">
        <w:rPr>
          <w:rFonts w:ascii="Times New Roman" w:hAnsi="Times New Roman" w:cs="Times New Roman"/>
          <w:b w:val="0"/>
          <w:sz w:val="22"/>
          <w:szCs w:val="22"/>
        </w:rPr>
        <w:t>Подгузник для взрослых - это м</w:t>
      </w:r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гелеобразующие</w:t>
      </w:r>
      <w:proofErr w:type="spellEnd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 xml:space="preserve"> влагопоглощающие вещества (</w:t>
      </w:r>
      <w:proofErr w:type="spellStart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суперабсорбенты</w:t>
      </w:r>
      <w:proofErr w:type="spellEnd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).</w:t>
      </w:r>
      <w:bookmarkEnd w:id="0"/>
    </w:p>
    <w:p w:rsidR="00845F07" w:rsidRPr="00325161" w:rsidRDefault="00845F07" w:rsidP="00845F07">
      <w:pPr>
        <w:pStyle w:val="21"/>
        <w:ind w:firstLine="567"/>
        <w:jc w:val="both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bCs/>
        </w:rPr>
        <w:t>В соответствии с разделом 5 "Требования к конструкции подгузников ГОСТ Р 55082-2012 «Изделия бумажные медицинского назначения. Подгузники для взрослых. Общие технические условия» конструкция подгузников включает в себя (начиная со слоя, контактирующего с кожей человека):</w:t>
      </w:r>
    </w:p>
    <w:p w:rsidR="00845F07" w:rsidRDefault="00845F07" w:rsidP="00845F07">
      <w:pPr>
        <w:pStyle w:val="21"/>
        <w:rPr>
          <w:rFonts w:ascii="Times New Roman" w:hAnsi="Times New Roman" w:cs="Times New Roman"/>
          <w:shd w:val="clear" w:color="auto" w:fill="FFFFFF"/>
        </w:rPr>
      </w:pPr>
      <w:r w:rsidRPr="00325161">
        <w:rPr>
          <w:rFonts w:ascii="Times New Roman" w:hAnsi="Times New Roman" w:cs="Times New Roman"/>
          <w:shd w:val="clear" w:color="auto" w:fill="FFFFFF"/>
        </w:rPr>
        <w:t>- верхний покровный слой;</w:t>
      </w:r>
    </w:p>
    <w:p w:rsidR="00845F07" w:rsidRDefault="00845F07" w:rsidP="00845F07">
      <w:pPr>
        <w:pStyle w:val="21"/>
        <w:rPr>
          <w:rFonts w:ascii="Times New Roman" w:hAnsi="Times New Roman" w:cs="Times New Roman"/>
          <w:shd w:val="clear" w:color="auto" w:fill="FFFFFF"/>
        </w:rPr>
      </w:pPr>
      <w:r w:rsidRPr="00325161">
        <w:rPr>
          <w:rFonts w:ascii="Times New Roman" w:hAnsi="Times New Roman" w:cs="Times New Roman"/>
          <w:shd w:val="clear" w:color="auto" w:fill="FFFFFF"/>
        </w:rPr>
        <w:t>- распределительный слой;</w:t>
      </w:r>
    </w:p>
    <w:p w:rsidR="00845F07" w:rsidRPr="00325161" w:rsidRDefault="00845F07" w:rsidP="00845F07">
      <w:pPr>
        <w:pStyle w:val="21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shd w:val="clear" w:color="auto" w:fill="FFFFFF"/>
        </w:rPr>
        <w:t xml:space="preserve">- абсорбирующий слой, состоящий из одного или двух впитывающих </w:t>
      </w:r>
      <w:proofErr w:type="gramStart"/>
      <w:r w:rsidRPr="00325161">
        <w:rPr>
          <w:rFonts w:ascii="Times New Roman" w:hAnsi="Times New Roman" w:cs="Times New Roman"/>
          <w:shd w:val="clear" w:color="auto" w:fill="FFFFFF"/>
        </w:rPr>
        <w:t>слоев;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325161">
        <w:rPr>
          <w:rFonts w:ascii="Times New Roman" w:hAnsi="Times New Roman" w:cs="Times New Roman"/>
          <w:shd w:val="clear" w:color="auto" w:fill="FFFFFF"/>
        </w:rPr>
        <w:t xml:space="preserve"> защитный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нижний покровный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барьерные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фиксирующие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индикатор наполнения подгузника (при наличии).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Допускается изготавливать подгузники без распределительного и нижнего покровного слоев.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  <w:lang w:eastAsia="ru-RU"/>
        </w:rPr>
      </w:pPr>
      <w:r w:rsidRPr="00325161">
        <w:rPr>
          <w:rFonts w:ascii="Times New Roman" w:hAnsi="Times New Roman" w:cs="Times New Roman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  <w:b/>
        </w:rPr>
      </w:pPr>
    </w:p>
    <w:p w:rsidR="00845F07" w:rsidRPr="00961561" w:rsidRDefault="00845F07" w:rsidP="00845F07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маркировке и упаковке Товара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 xml:space="preserve">Печатное изображение на подгузниках должно быть четким, без искажений и пробелов. Не должно быть следов </w:t>
      </w:r>
      <w:proofErr w:type="spellStart"/>
      <w:r w:rsidRPr="00325161">
        <w:rPr>
          <w:rFonts w:ascii="Times New Roman" w:hAnsi="Times New Roman" w:cs="Times New Roman"/>
        </w:rPr>
        <w:t>выщипывания</w:t>
      </w:r>
      <w:proofErr w:type="spellEnd"/>
      <w:r w:rsidRPr="00325161">
        <w:rPr>
          <w:rFonts w:ascii="Times New Roman" w:hAnsi="Times New Roman" w:cs="Times New Roman"/>
        </w:rPr>
        <w:t xml:space="preserve"> волокон с поверхности изделий и </w:t>
      </w:r>
      <w:proofErr w:type="spellStart"/>
      <w:r w:rsidRPr="00325161">
        <w:rPr>
          <w:rFonts w:ascii="Times New Roman" w:hAnsi="Times New Roman" w:cs="Times New Roman"/>
        </w:rPr>
        <w:t>отмарывания</w:t>
      </w:r>
      <w:proofErr w:type="spellEnd"/>
      <w:r w:rsidRPr="00325161">
        <w:rPr>
          <w:rFonts w:ascii="Times New Roman" w:hAnsi="Times New Roman" w:cs="Times New Roman"/>
        </w:rPr>
        <w:t xml:space="preserve"> краски.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Маркировка упаковки подгузников должна включать: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lastRenderedPageBreak/>
        <w:t>- наименование страны-изготовителя;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(указывается при наличии);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подгузника, товарную марку (указывается 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(указывается при наличии);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правила по применению подгузника (в виде рисунков или текста);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информацию о наличии специальных ингредиентов;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номер артикула (указывается при наличии);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количество подгузников в упаковке;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дату (месяц, год) изготовления;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обозначение настоящего стандарта;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штриховой код (указывается при наличии).</w:t>
      </w:r>
    </w:p>
    <w:p w:rsidR="00845F07" w:rsidRPr="00325161" w:rsidRDefault="00845F07" w:rsidP="00845F07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 xml:space="preserve">Не допускается наносить информацию о специальных свойствах подгузника, </w:t>
      </w:r>
      <w:proofErr w:type="gramStart"/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>например</w:t>
      </w:r>
      <w:proofErr w:type="gramEnd"/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</w:t>
      </w:r>
      <w:r w:rsidRPr="00325161">
        <w:rPr>
          <w:rFonts w:ascii="Times New Roman" w:hAnsi="Times New Roman" w:cs="Times New Roman"/>
          <w:bCs/>
          <w:sz w:val="22"/>
          <w:szCs w:val="22"/>
        </w:rPr>
        <w:t>.</w:t>
      </w:r>
    </w:p>
    <w:p w:rsidR="00845F07" w:rsidRPr="00325161" w:rsidRDefault="00845F07" w:rsidP="00845F07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  <w:bCs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845F07" w:rsidRPr="00325161" w:rsidRDefault="00845F07" w:rsidP="00845F07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</w:p>
    <w:p w:rsidR="00845F07" w:rsidRPr="00325161" w:rsidRDefault="00845F07" w:rsidP="00845F07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845F07" w:rsidRPr="00997CC4" w:rsidRDefault="00845F07" w:rsidP="00845F07">
      <w:pPr>
        <w:pStyle w:val="11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25161"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до </w:t>
      </w:r>
      <w:r>
        <w:rPr>
          <w:rFonts w:ascii="Times New Roman" w:hAnsi="Times New Roman" w:cs="Times New Roman"/>
        </w:rPr>
        <w:t>01 декабря</w:t>
      </w:r>
      <w:r w:rsidRPr="0032516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325161">
        <w:rPr>
          <w:rFonts w:ascii="Times New Roman" w:hAnsi="Times New Roman" w:cs="Times New Roman"/>
        </w:rPr>
        <w:t xml:space="preserve"> года.</w:t>
      </w:r>
      <w:r w:rsidRPr="00325161">
        <w:rPr>
          <w:rFonts w:ascii="Times New Roman" w:hAnsi="Times New Roman" w:cs="Times New Roman"/>
          <w:lang w:eastAsia="ru-RU"/>
        </w:rPr>
        <w:t xml:space="preserve"> </w:t>
      </w:r>
    </w:p>
    <w:p w:rsidR="00D25ED5" w:rsidRPr="00D25ED5" w:rsidRDefault="00D25ED5">
      <w:pPr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A461EB" w:rsidRPr="00D25ED5" w:rsidRDefault="00D25ED5">
      <w:pPr>
        <w:rPr>
          <w:rFonts w:ascii="Times New Roman" w:hAnsi="Times New Roman" w:cs="Times New Roman"/>
          <w:sz w:val="22"/>
          <w:szCs w:val="22"/>
        </w:rPr>
      </w:pPr>
      <w:r w:rsidRPr="00D25ED5">
        <w:rPr>
          <w:rFonts w:ascii="Times New Roman" w:hAnsi="Times New Roman" w:cs="Times New Roman"/>
          <w:i/>
          <w:sz w:val="22"/>
          <w:szCs w:val="22"/>
          <w:u w:val="single"/>
        </w:rPr>
        <w:t xml:space="preserve">Место доставки товаров: </w:t>
      </w:r>
      <w:r w:rsidRPr="00D25ED5">
        <w:rPr>
          <w:rFonts w:ascii="Times New Roman" w:hAnsi="Times New Roman" w:cs="Times New Roman"/>
          <w:sz w:val="22"/>
          <w:szCs w:val="22"/>
        </w:rPr>
        <w:t>Российская Федерация, Мурманская область.</w:t>
      </w:r>
    </w:p>
    <w:p w:rsidR="008D6860" w:rsidRPr="008D6860" w:rsidRDefault="00D25ED5" w:rsidP="008D6860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25ED5">
        <w:rPr>
          <w:rFonts w:ascii="Times New Roman" w:hAnsi="Times New Roman" w:cs="Times New Roman"/>
          <w:i/>
          <w:sz w:val="22"/>
          <w:szCs w:val="22"/>
          <w:u w:val="single"/>
        </w:rPr>
        <w:t>Срок поставки товаров:</w:t>
      </w:r>
      <w:r w:rsidRPr="00D25ED5">
        <w:rPr>
          <w:rFonts w:ascii="Times New Roman" w:hAnsi="Times New Roman" w:cs="Times New Roman"/>
          <w:sz w:val="22"/>
          <w:szCs w:val="22"/>
        </w:rPr>
        <w:t xml:space="preserve"> </w:t>
      </w:r>
      <w:r w:rsidR="008D6860" w:rsidRPr="008D6860">
        <w:rPr>
          <w:rFonts w:ascii="Times New Roman" w:hAnsi="Times New Roman" w:cs="Times New Roman"/>
          <w:sz w:val="22"/>
          <w:szCs w:val="22"/>
        </w:rPr>
        <w:t>Поставка Товара включает в себя:</w:t>
      </w:r>
    </w:p>
    <w:p w:rsidR="008D6860" w:rsidRPr="008D6860" w:rsidRDefault="008D6860" w:rsidP="008D6860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6860">
        <w:rPr>
          <w:rFonts w:ascii="Times New Roman" w:hAnsi="Times New Roman" w:cs="Times New Roman"/>
          <w:sz w:val="22"/>
          <w:szCs w:val="22"/>
        </w:rPr>
        <w:t xml:space="preserve">1) доставку Товара в г. Мурманск для проведения Заказчиком экспертизы на соответствие Товара условиям Контракта: </w:t>
      </w:r>
    </w:p>
    <w:p w:rsidR="008D6860" w:rsidRPr="008D6860" w:rsidRDefault="008D6860" w:rsidP="008D6860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6860">
        <w:rPr>
          <w:rFonts w:ascii="Times New Roman" w:hAnsi="Times New Roman" w:cs="Times New Roman"/>
          <w:sz w:val="22"/>
          <w:szCs w:val="22"/>
        </w:rPr>
        <w:t>- не менее 50% – 15 февраля 2021 года.</w:t>
      </w:r>
    </w:p>
    <w:p w:rsidR="008D6860" w:rsidRPr="008D6860" w:rsidRDefault="008D6860" w:rsidP="008D6860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6860">
        <w:rPr>
          <w:rFonts w:ascii="Times New Roman" w:hAnsi="Times New Roman" w:cs="Times New Roman"/>
          <w:sz w:val="22"/>
          <w:szCs w:val="22"/>
        </w:rPr>
        <w:t>- полный объем – 26 марта 2021 года.</w:t>
      </w:r>
    </w:p>
    <w:p w:rsidR="008D6860" w:rsidRPr="008D6860" w:rsidRDefault="008D6860" w:rsidP="008D6860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6860">
        <w:rPr>
          <w:rFonts w:ascii="Times New Roman" w:hAnsi="Times New Roman" w:cs="Times New Roman"/>
          <w:sz w:val="22"/>
          <w:szCs w:val="22"/>
        </w:rPr>
        <w:t xml:space="preserve">2) выдача Товара Получателям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</w:r>
    </w:p>
    <w:p w:rsidR="00D25ED5" w:rsidRDefault="008D6860" w:rsidP="008D6860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D6860">
        <w:rPr>
          <w:rFonts w:ascii="Times New Roman" w:hAnsi="Times New Roman" w:cs="Times New Roman"/>
          <w:sz w:val="22"/>
          <w:szCs w:val="22"/>
        </w:rPr>
        <w:t>Выдача Товара осуществляется по "23" июля 2021 года включительно.</w:t>
      </w:r>
    </w:p>
    <w:p w:rsidR="00860398" w:rsidRDefault="00860398" w:rsidP="008D6860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860398">
        <w:rPr>
          <w:rFonts w:ascii="Times New Roman" w:hAnsi="Times New Roman" w:cs="Times New Roman"/>
          <w:i/>
          <w:sz w:val="22"/>
          <w:szCs w:val="22"/>
          <w:u w:val="single"/>
        </w:rPr>
        <w:t>Порядок и срок передачи Товара Получателю и оформления отчетных и итоговых документов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(далее по тексту – Порядок)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1. Поставка Товара Получателям осуществляется Поставщиком после получения от Заказчика реестра получателей Товара.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lastRenderedPageBreak/>
        <w:t>2. 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</w:t>
      </w:r>
      <w:r>
        <w:rPr>
          <w:rFonts w:ascii="Times New Roman" w:hAnsi="Times New Roman" w:cs="Times New Roman"/>
          <w:sz w:val="22"/>
          <w:szCs w:val="22"/>
        </w:rPr>
        <w:t>елю (представителю Получателя).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3. В течение 10 (десяти) рабочих дней после поставки Товара всем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4. Для 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закона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N 44-ФЗ.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При проведении экспертизы эксперты, экспертные организации имеют право запрашивать у Заказчика и Поставщика дополнительные материалы, относящиеся к условиям исполнения Контракта и отдельным этапам исполнения Контракта.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5. В случае привлечения Заказчиком экспертов,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 xml:space="preserve">6. Заказчик в течение 20 (двадцати) рабочих дней со дня получения отчетной документации, указанной в пункте 3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60398">
        <w:rPr>
          <w:rFonts w:ascii="Times New Roman" w:hAnsi="Times New Roman" w:cs="Times New Roman"/>
          <w:sz w:val="22"/>
          <w:szCs w:val="22"/>
        </w:rPr>
        <w:t>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7. Если выявленное несоответствие не препятствует приемке поставленного Товара по Контракту (по отдельному этапу Контракта) и устранено Поставщиком в установленный Заказчиком срок, Заказчик вправе подписать акт приемки поставленного Товара.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8. По факту последней поставки Товара Получателю Поставщик в течение 10 (десяти) рабочих дней направляет Заказчику подписанный со своей стороны итоговый акт осуществленных поставок Товара.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9. Оформление итогового акта осуществленных поставок Товара осуществляется после предоставления Поставщиком обеспечения гарантийных обязательств.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10. Заказчик в течение 30 (тридцати) рабочих дней с даты получения итогового акта осуществленных поставок Товара совместно с Поставщиком проводит:</w:t>
      </w:r>
    </w:p>
    <w:p w:rsidR="00860398" w:rsidRPr="00860398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-сверку осуществленных поставок, проверку поступления на счет денежных средств или предоставления банковской гарантии в качестве обеспечения гарантийных обязательств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устранения;</w:t>
      </w:r>
    </w:p>
    <w:p w:rsidR="00860398" w:rsidRPr="00D25ED5" w:rsidRDefault="00860398" w:rsidP="00860398">
      <w:pPr>
        <w:widowControl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60398">
        <w:rPr>
          <w:rFonts w:ascii="Times New Roman" w:hAnsi="Times New Roman" w:cs="Times New Roman"/>
          <w:sz w:val="22"/>
          <w:szCs w:val="22"/>
        </w:rPr>
        <w:t>-окончательную сверку взаиморасчетов с оформлением в письменной форме акта сверки взаиморасчетов.</w:t>
      </w:r>
    </w:p>
    <w:sectPr w:rsidR="00860398" w:rsidRPr="00D25ED5" w:rsidSect="004902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4F"/>
    <w:rsid w:val="0049024F"/>
    <w:rsid w:val="00845F07"/>
    <w:rsid w:val="00860398"/>
    <w:rsid w:val="008D6860"/>
    <w:rsid w:val="00A461EB"/>
    <w:rsid w:val="00D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0EB5-B58A-47F0-BED2-2C4D461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024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9024F"/>
    <w:pPr>
      <w:keepNext/>
      <w:widowControl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49024F"/>
    <w:pPr>
      <w:keepNext/>
      <w:widowControl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49024F"/>
    <w:pPr>
      <w:keepNext/>
      <w:numPr>
        <w:ilvl w:val="2"/>
        <w:numId w:val="1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49024F"/>
    <w:pPr>
      <w:keepNext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49024F"/>
    <w:pPr>
      <w:widowControl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49024F"/>
    <w:pPr>
      <w:widowControl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49024F"/>
    <w:pPr>
      <w:widowControl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49024F"/>
    <w:pPr>
      <w:widowControl/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49024F"/>
    <w:pPr>
      <w:widowControl/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902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9024F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024F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9024F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9024F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9024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9024F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9024F"/>
    <w:rPr>
      <w:rFonts w:ascii="Arial" w:eastAsia="Times New Roman" w:hAnsi="Arial" w:cs="Arial"/>
      <w:lang w:eastAsia="ar-SA"/>
    </w:rPr>
  </w:style>
  <w:style w:type="paragraph" w:styleId="a3">
    <w:name w:val="No Spacing"/>
    <w:link w:val="a4"/>
    <w:qFormat/>
    <w:rsid w:val="004902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link w:val="NoSpacingChar"/>
    <w:uiPriority w:val="99"/>
    <w:qFormat/>
    <w:rsid w:val="0049024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49024F"/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uiPriority w:val="99"/>
    <w:qFormat/>
    <w:rsid w:val="0049024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490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uiPriority w:val="99"/>
    <w:locked/>
    <w:rsid w:val="0049024F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49024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2020-12-14T09:51:00Z</dcterms:created>
  <dcterms:modified xsi:type="dcterms:W3CDTF">2020-12-21T12:10:00Z</dcterms:modified>
</cp:coreProperties>
</file>