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61" w:rsidRPr="008C5861" w:rsidRDefault="008C5861" w:rsidP="008C5861">
      <w:pPr>
        <w:tabs>
          <w:tab w:val="left" w:pos="567"/>
          <w:tab w:val="left" w:pos="5565"/>
        </w:tabs>
        <w:suppressAutoHyphens/>
        <w:spacing w:after="0" w:line="240" w:lineRule="auto"/>
        <w:ind w:left="705"/>
        <w:jc w:val="center"/>
        <w:rPr>
          <w:rFonts w:ascii="Times New Roman" w:eastAsia="Lucida Sans Unicode" w:hAnsi="Times New Roman" w:cs="Mangal"/>
          <w:b/>
          <w:bCs/>
          <w:kern w:val="1"/>
          <w:sz w:val="20"/>
          <w:szCs w:val="24"/>
          <w:lang w:eastAsia="hi-IN" w:bidi="hi-IN"/>
        </w:rPr>
      </w:pPr>
      <w:r w:rsidRPr="008C5861">
        <w:rPr>
          <w:rFonts w:ascii="Times New Roman" w:eastAsia="Lucida Sans Unicode" w:hAnsi="Times New Roman" w:cs="Mangal"/>
          <w:b/>
          <w:bCs/>
          <w:kern w:val="1"/>
          <w:sz w:val="20"/>
          <w:szCs w:val="24"/>
          <w:lang w:eastAsia="hi-IN" w:bidi="hi-IN"/>
        </w:rPr>
        <w:t xml:space="preserve">Техническое задание </w:t>
      </w:r>
    </w:p>
    <w:p w:rsidR="008C5861" w:rsidRPr="008C5861" w:rsidRDefault="008C5861" w:rsidP="008C5861">
      <w:pPr>
        <w:tabs>
          <w:tab w:val="left" w:pos="567"/>
          <w:tab w:val="left" w:pos="5565"/>
        </w:tabs>
        <w:suppressAutoHyphens/>
        <w:spacing w:after="0" w:line="240" w:lineRule="auto"/>
        <w:ind w:left="705"/>
        <w:jc w:val="center"/>
        <w:rPr>
          <w:rFonts w:ascii="Times New Roman" w:eastAsia="Lucida Sans Unicode" w:hAnsi="Times New Roman" w:cs="Mangal"/>
          <w:b/>
          <w:bCs/>
          <w:kern w:val="1"/>
          <w:sz w:val="20"/>
          <w:szCs w:val="24"/>
          <w:lang w:eastAsia="hi-IN" w:bidi="hi-IN"/>
        </w:rPr>
      </w:pPr>
    </w:p>
    <w:p w:rsidR="008C5861" w:rsidRPr="008C5861" w:rsidRDefault="008C5861" w:rsidP="008C5861">
      <w:pPr>
        <w:tabs>
          <w:tab w:val="left" w:pos="0"/>
          <w:tab w:val="left" w:pos="945"/>
          <w:tab w:val="left" w:pos="508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</w:pPr>
      <w:r w:rsidRPr="008C5861"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  <w:t xml:space="preserve"> 1.  . </w:t>
      </w:r>
      <w:r w:rsidRPr="008C5861">
        <w:rPr>
          <w:rFonts w:ascii="Times New Roman" w:eastAsia="Lucida Sans Unicode" w:hAnsi="Times New Roman" w:cs="Mangal"/>
          <w:b/>
          <w:kern w:val="2"/>
          <w:sz w:val="20"/>
          <w:szCs w:val="20"/>
          <w:lang w:eastAsia="hi-IN" w:bidi="hi-IN"/>
        </w:rPr>
        <w:t>Способ определения Исполнителя:</w:t>
      </w:r>
      <w:r w:rsidRPr="008C5861"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Электронный аукцион</w:t>
      </w:r>
    </w:p>
    <w:p w:rsidR="008C5861" w:rsidRPr="008C5861" w:rsidRDefault="008C5861" w:rsidP="008C5861">
      <w:pPr>
        <w:tabs>
          <w:tab w:val="left" w:pos="567"/>
          <w:tab w:val="left" w:pos="1276"/>
          <w:tab w:val="left" w:pos="508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  <w:t xml:space="preserve">               2. </w:t>
      </w: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Оказание услуг по обеспечению автомобилей Регионального отделения горюче-смазочными материалами на 2021 год в городе Якутске и улусах (районах) Республики Саха (Якутия):</w:t>
      </w:r>
    </w:p>
    <w:p w:rsidR="008C5861" w:rsidRPr="008C5861" w:rsidRDefault="008C5861" w:rsidP="008C5861">
      <w:pPr>
        <w:tabs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Бензин автомобильный марки Премиум-95  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  <w:t>Требования к отгрузке:</w:t>
      </w:r>
      <w:r w:rsidRPr="008C5861">
        <w:rPr>
          <w:rFonts w:ascii="Times New Roman" w:eastAsia="Lucida Sans Unicode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8C586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заправка автомобилей Регионального отделения на АЗС, расположенных на территории Республики Саха (Якутия), в следующих населенных пунктах, соответствующих расположению Регионального отделения и его районных представительств: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- г. Якутск;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Алданский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- Вилюйский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Верхневилюйский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- Горный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Жиганский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Кобяйский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Намский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Нюрбинский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 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Оймяконский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Оленекский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Олекминский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Усть-Алданский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Усть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-Майский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Хангалаский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Чурапчинский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Амгинский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Нерюнгринский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Мирнинский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- Ленский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Сунтарский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район;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- </w:t>
      </w:r>
      <w:proofErr w:type="spell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Таттинский</w:t>
      </w:r>
      <w:proofErr w:type="spell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 район.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  <w:t>Приемка ГСМ на соответствие его количества и качества осуществляется в соответствии с действующим законодательством.</w:t>
      </w:r>
    </w:p>
    <w:p w:rsidR="008C5861" w:rsidRPr="008C5861" w:rsidRDefault="008C5861" w:rsidP="008C5861">
      <w:pPr>
        <w:keepNext/>
        <w:keepLines/>
        <w:widowControl w:val="0"/>
        <w:suppressLineNumber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  <w:t xml:space="preserve">Исполнитель </w:t>
      </w:r>
      <w:r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 xml:space="preserve">должен иметь разрешающие документы на выполнение вышеуказанных услуг и разветвленную сеть автозаправочных станций в </w:t>
      </w:r>
      <w:r w:rsidRPr="008C5861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городе Якутске и улусах (районах) Республики Саха (Якутия)</w:t>
      </w:r>
      <w:r w:rsidRPr="008C5861">
        <w:rPr>
          <w:rFonts w:ascii="Times New Roman" w:eastAsia="Lucida Sans Unicode" w:hAnsi="Times New Roman" w:cs="Mangal"/>
          <w:bCs/>
          <w:kern w:val="1"/>
          <w:sz w:val="26"/>
          <w:szCs w:val="26"/>
          <w:lang w:eastAsia="hi-IN" w:bidi="hi-IN"/>
        </w:rPr>
        <w:t xml:space="preserve"> </w:t>
      </w:r>
      <w:r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>Представить таблицу с адресами АЗС/АЗК).</w:t>
      </w:r>
    </w:p>
    <w:p w:rsidR="008C5861" w:rsidRPr="008C5861" w:rsidRDefault="008C5861" w:rsidP="008C5861">
      <w:pPr>
        <w:tabs>
          <w:tab w:val="left" w:pos="-2160"/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</w:pPr>
      <w:r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>Условия</w:t>
      </w:r>
      <w:r w:rsidRPr="008C5861"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  <w:t xml:space="preserve"> оказания услуг </w:t>
      </w:r>
      <w:r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 xml:space="preserve">– круглосуточный отпуск бензина на АЗС </w:t>
      </w:r>
      <w:r w:rsidRPr="008C5861">
        <w:rPr>
          <w:rFonts w:ascii="Times New Roman" w:eastAsia="Lucida Sans Unicode" w:hAnsi="Times New Roman" w:cs="Mangal"/>
          <w:bCs/>
          <w:color w:val="000000"/>
          <w:kern w:val="1"/>
          <w:sz w:val="20"/>
          <w:szCs w:val="20"/>
          <w:lang w:eastAsia="hi-IN" w:bidi="hi-IN"/>
        </w:rPr>
        <w:t xml:space="preserve">Исполнителя </w:t>
      </w:r>
      <w:proofErr w:type="gramStart"/>
      <w:r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>с  использованием</w:t>
      </w:r>
      <w:proofErr w:type="gramEnd"/>
      <w:r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 xml:space="preserve">  пластиковых карт.</w:t>
      </w:r>
    </w:p>
    <w:p w:rsidR="008C5861" w:rsidRPr="008C5861" w:rsidRDefault="008C5861" w:rsidP="008C5861">
      <w:pPr>
        <w:tabs>
          <w:tab w:val="left" w:pos="-2160"/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На лицензируемые виды деятельности представить копии лицензий, а также сертификаты соответствия на продукцию. </w:t>
      </w:r>
    </w:p>
    <w:p w:rsidR="008C5861" w:rsidRPr="008C5861" w:rsidRDefault="008C5861" w:rsidP="008C5861">
      <w:pPr>
        <w:tabs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  <w:t>Требования к качеству</w:t>
      </w:r>
      <w:r w:rsidRPr="008C5861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: Качество отпускаемого ГСМ должно соответствовать ГОСТам на данный вид ГСМ и подтверждаться сертификатом качества, выданным заводом. </w:t>
      </w:r>
    </w:p>
    <w:p w:rsidR="008C5861" w:rsidRPr="008C5861" w:rsidRDefault="008C5861" w:rsidP="008C5861">
      <w:pPr>
        <w:tabs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  <w:t>Требования к безопасности</w:t>
      </w: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: ГСМ</w:t>
      </w:r>
      <w:r w:rsidRPr="008C5861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должен иметь сертификат соответствия Госстандарта России, дающий право эксплуатации его в условиях Российской Федерации. </w:t>
      </w:r>
    </w:p>
    <w:p w:rsidR="008C5861" w:rsidRPr="008C5861" w:rsidRDefault="008C5861" w:rsidP="008C5861">
      <w:pPr>
        <w:tabs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  <w:t>Требования к функциональным характеристикам (потребительским свойствам)</w:t>
      </w:r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: ГСМ должен соответствовать функциональным характеристикам, установленным производителем для </w:t>
      </w:r>
      <w:proofErr w:type="gramStart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>прилагаемых  товаров</w:t>
      </w:r>
      <w:proofErr w:type="gramEnd"/>
      <w:r w:rsidRPr="008C5861">
        <w:rPr>
          <w:rFonts w:ascii="Times New Roman" w:eastAsia="Lucida Sans Unicode" w:hAnsi="Times New Roman" w:cs="Mangal"/>
          <w:color w:val="000000"/>
          <w:kern w:val="1"/>
          <w:sz w:val="20"/>
          <w:szCs w:val="20"/>
          <w:lang w:eastAsia="hi-IN" w:bidi="hi-IN"/>
        </w:rPr>
        <w:t xml:space="preserve">.  </w:t>
      </w:r>
      <w:r w:rsidRPr="008C5861">
        <w:rPr>
          <w:rFonts w:ascii="Times New Roman" w:eastAsia="Times New Roman" w:hAnsi="Times New Roman" w:cs="Mangal"/>
          <w:kern w:val="1"/>
          <w:sz w:val="20"/>
          <w:szCs w:val="20"/>
          <w:lang w:eastAsia="ar-SA" w:bidi="hi-IN"/>
        </w:rPr>
        <w:t>ГОСТ Р 51105-97 «Государственный стандарт Российской Федерации. Топлива для двигателей внутреннего сгорания. Неэтилированный бензин. Технические условия» (принят и введен в действие Постановлением Госстандарта РФ от 09.12.1997 N 404) (ред. от 15.09.2011)</w:t>
      </w:r>
    </w:p>
    <w:p w:rsidR="008C5861" w:rsidRPr="008C5861" w:rsidRDefault="00834C88" w:rsidP="008C5861">
      <w:pPr>
        <w:tabs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  <w:t xml:space="preserve">3. </w:t>
      </w:r>
      <w:bookmarkStart w:id="0" w:name="_GoBack"/>
      <w:bookmarkEnd w:id="0"/>
      <w:r w:rsidR="008C5861" w:rsidRPr="008C5861">
        <w:rPr>
          <w:rFonts w:ascii="Times New Roman" w:eastAsia="Lucida Sans Unicode" w:hAnsi="Times New Roman" w:cs="Mangal"/>
          <w:b/>
          <w:bCs/>
          <w:kern w:val="1"/>
          <w:sz w:val="20"/>
          <w:szCs w:val="20"/>
          <w:lang w:eastAsia="hi-IN" w:bidi="hi-IN"/>
        </w:rPr>
        <w:t>Требования к упаковке:</w:t>
      </w:r>
      <w:r w:rsidR="008C5861" w:rsidRPr="008C5861">
        <w:rPr>
          <w:rFonts w:ascii="Times New Roman" w:eastAsia="Lucida Sans Unicode" w:hAnsi="Times New Roman" w:cs="Mangal"/>
          <w:color w:val="FF00FF"/>
          <w:kern w:val="1"/>
          <w:sz w:val="20"/>
          <w:szCs w:val="20"/>
          <w:lang w:eastAsia="hi-IN" w:bidi="hi-IN"/>
        </w:rPr>
        <w:t xml:space="preserve"> </w:t>
      </w:r>
      <w:r w:rsidR="008C5861" w:rsidRPr="008C5861">
        <w:rPr>
          <w:rFonts w:ascii="Times New Roman" w:eastAsia="Lucida Sans Unicode" w:hAnsi="Times New Roman" w:cs="Mangal"/>
          <w:bCs/>
          <w:kern w:val="1"/>
          <w:sz w:val="20"/>
          <w:szCs w:val="20"/>
          <w:lang w:eastAsia="hi-IN" w:bidi="hi-IN"/>
        </w:rPr>
        <w:t xml:space="preserve">заказчиком обязательные требования не предъявляются. </w:t>
      </w:r>
    </w:p>
    <w:p w:rsidR="008C5861" w:rsidRPr="008C5861" w:rsidRDefault="008C5861" w:rsidP="00834C88">
      <w:pPr>
        <w:tabs>
          <w:tab w:val="left" w:pos="567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C5861"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  <w:t xml:space="preserve"> </w:t>
      </w:r>
      <w:r w:rsidR="00834C88"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  <w:t xml:space="preserve">4. </w:t>
      </w:r>
      <w:r w:rsidRPr="008C5861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Срок оказания услуг: </w:t>
      </w:r>
      <w:r w:rsidRPr="008C5861">
        <w:rPr>
          <w:rFonts w:ascii="Times New Roman" w:eastAsia="Times New Roman" w:hAnsi="Times New Roman" w:cs="Mangal"/>
          <w:kern w:val="1"/>
          <w:sz w:val="20"/>
          <w:szCs w:val="26"/>
          <w:lang w:eastAsia="ar-SA" w:bidi="hi-IN"/>
        </w:rPr>
        <w:t>Контракт вступает в силу с «01» января 2021 года и действует по «31» декабря 2021 года</w:t>
      </w:r>
      <w:r w:rsidRPr="008C5861">
        <w:rPr>
          <w:rFonts w:ascii="Times New Roman" w:eastAsia="Times New Roman" w:hAnsi="Times New Roman" w:cs="Mangal"/>
          <w:kern w:val="1"/>
          <w:sz w:val="20"/>
          <w:szCs w:val="20"/>
          <w:lang w:eastAsia="ar-SA" w:bidi="hi-IN"/>
        </w:rPr>
        <w:t>, а в отношении взаиморасчетов до полного выполнения Сторонами своих обязательств, не позднее 18 января 2022 года.</w:t>
      </w:r>
    </w:p>
    <w:p w:rsidR="008C5861" w:rsidRPr="008C5861" w:rsidRDefault="008C5861" w:rsidP="008C5861">
      <w:pPr>
        <w:tabs>
          <w:tab w:val="left" w:pos="567"/>
          <w:tab w:val="left" w:pos="1650"/>
          <w:tab w:val="left" w:pos="5790"/>
        </w:tabs>
        <w:suppressAutoHyphens/>
        <w:spacing w:after="0" w:line="240" w:lineRule="auto"/>
        <w:ind w:left="930"/>
        <w:jc w:val="both"/>
        <w:rPr>
          <w:rFonts w:ascii="Times New Roman" w:eastAsia="Lucida Sans Unicode" w:hAnsi="Times New Roman" w:cs="Mangal"/>
          <w:kern w:val="1"/>
          <w:sz w:val="20"/>
          <w:szCs w:val="24"/>
          <w:lang w:eastAsia="hi-IN" w:bidi="hi-IN"/>
        </w:rPr>
      </w:pPr>
    </w:p>
    <w:p w:rsidR="00B9282E" w:rsidRDefault="00834C88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2"/>
    <w:rsid w:val="000B42B5"/>
    <w:rsid w:val="002B1122"/>
    <w:rsid w:val="0074413A"/>
    <w:rsid w:val="00834C88"/>
    <w:rsid w:val="008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BD0D-BA98-435C-AC9E-A3E89EB6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3</cp:revision>
  <dcterms:created xsi:type="dcterms:W3CDTF">2020-12-07T02:40:00Z</dcterms:created>
  <dcterms:modified xsi:type="dcterms:W3CDTF">2020-12-07T03:01:00Z</dcterms:modified>
</cp:coreProperties>
</file>