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4F2140" w:rsidRDefault="00E35808" w:rsidP="009226AD">
      <w:pPr>
        <w:jc w:val="both"/>
        <w:rPr>
          <w:b/>
          <w:sz w:val="26"/>
          <w:szCs w:val="26"/>
        </w:rPr>
      </w:pPr>
    </w:p>
    <w:p w:rsidR="009226AD" w:rsidRPr="007463B3" w:rsidRDefault="009226AD" w:rsidP="009226AD">
      <w:pPr>
        <w:spacing w:after="160" w:line="259" w:lineRule="auto"/>
        <w:jc w:val="both"/>
        <w:rPr>
          <w:rFonts w:eastAsia="Andale Sans UI"/>
          <w:kern w:val="1"/>
          <w:sz w:val="26"/>
          <w:szCs w:val="26"/>
          <w:lang w:eastAsia="ar-SA"/>
        </w:rPr>
      </w:pPr>
      <w:r w:rsidRPr="007463B3">
        <w:rPr>
          <w:b/>
          <w:bCs/>
          <w:kern w:val="1"/>
          <w:sz w:val="26"/>
          <w:szCs w:val="26"/>
        </w:rPr>
        <w:t xml:space="preserve">Место выполнения работ: </w:t>
      </w:r>
      <w:r w:rsidR="00353703" w:rsidRPr="007463B3">
        <w:rPr>
          <w:rFonts w:eastAsia="Andale Sans UI"/>
          <w:kern w:val="1"/>
          <w:sz w:val="26"/>
          <w:szCs w:val="26"/>
          <w:lang w:eastAsia="ar-SA"/>
        </w:rPr>
        <w:t>Осуществить снятие мерок, примерку и выдачу готовых Изделий в специализированных помещениях на территории Ханты-Манс</w:t>
      </w:r>
      <w:r w:rsidR="00A22645">
        <w:rPr>
          <w:rFonts w:eastAsia="Andale Sans UI"/>
          <w:kern w:val="1"/>
          <w:sz w:val="26"/>
          <w:szCs w:val="26"/>
          <w:lang w:eastAsia="ar-SA"/>
        </w:rPr>
        <w:t>ийского автономного округа-Югры.</w:t>
      </w:r>
    </w:p>
    <w:p w:rsidR="001D4C81" w:rsidRPr="007463B3" w:rsidRDefault="009226AD" w:rsidP="009A4C9B">
      <w:pPr>
        <w:spacing w:after="160" w:line="259" w:lineRule="auto"/>
        <w:jc w:val="both"/>
        <w:rPr>
          <w:rFonts w:eastAsia="Andale Sans UI"/>
          <w:kern w:val="1"/>
          <w:sz w:val="26"/>
          <w:szCs w:val="26"/>
          <w:lang w:eastAsia="ar-SA"/>
        </w:rPr>
      </w:pPr>
      <w:r w:rsidRPr="007463B3">
        <w:rPr>
          <w:b/>
          <w:bCs/>
          <w:kern w:val="1"/>
          <w:sz w:val="26"/>
          <w:szCs w:val="26"/>
        </w:rPr>
        <w:t xml:space="preserve">Сроки выполнения работ: </w:t>
      </w:r>
      <w:r w:rsidR="00353703" w:rsidRPr="007463B3">
        <w:rPr>
          <w:rFonts w:eastAsia="Andale Sans UI"/>
          <w:kern w:val="1"/>
          <w:sz w:val="26"/>
          <w:szCs w:val="26"/>
          <w:lang w:eastAsia="ar-SA"/>
        </w:rPr>
        <w:t>Выдать готовое изделие, соответствующее техническому заданию контракта непосредственно Получателю не позднее 30 ноября 2021 года.</w:t>
      </w:r>
    </w:p>
    <w:p w:rsidR="00D7115C" w:rsidRDefault="00D7115C" w:rsidP="009A4C9B">
      <w:pPr>
        <w:spacing w:after="160" w:line="259" w:lineRule="auto"/>
        <w:jc w:val="both"/>
        <w:rPr>
          <w:sz w:val="26"/>
          <w:szCs w:val="26"/>
        </w:rPr>
      </w:pPr>
      <w:r w:rsidRPr="007463B3">
        <w:rPr>
          <w:b/>
          <w:sz w:val="26"/>
          <w:szCs w:val="26"/>
        </w:rPr>
        <w:t>Наименование, характеристики и количество поставляемых товаров</w:t>
      </w:r>
      <w:r w:rsidRPr="007463B3">
        <w:rPr>
          <w:sz w:val="26"/>
          <w:szCs w:val="26"/>
        </w:rPr>
        <w:t>, объем выполняемых работ, оказываемых услуг:</w:t>
      </w:r>
    </w:p>
    <w:p w:rsidR="00D51C1F" w:rsidRPr="000B010C" w:rsidRDefault="00D51C1F" w:rsidP="00D51C1F">
      <w:pPr>
        <w:widowControl w:val="0"/>
        <w:autoSpaceDE w:val="0"/>
        <w:ind w:firstLine="567"/>
        <w:jc w:val="both"/>
        <w:rPr>
          <w:sz w:val="26"/>
          <w:szCs w:val="26"/>
        </w:rPr>
      </w:pPr>
      <w:r w:rsidRPr="000B010C">
        <w:rPr>
          <w:sz w:val="26"/>
          <w:szCs w:val="26"/>
        </w:rPr>
        <w:t xml:space="preserve">ГОСТ ISO 10993-1-2011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0B010C">
        <w:rPr>
          <w:sz w:val="26"/>
          <w:szCs w:val="26"/>
        </w:rPr>
        <w:t>цитотоксичность</w:t>
      </w:r>
      <w:proofErr w:type="spellEnd"/>
      <w:r w:rsidRPr="000B010C">
        <w:rPr>
          <w:sz w:val="26"/>
          <w:szCs w:val="26"/>
        </w:rPr>
        <w:t xml:space="preserve">: методы </w:t>
      </w:r>
      <w:proofErr w:type="spellStart"/>
      <w:r w:rsidRPr="000B010C">
        <w:rPr>
          <w:sz w:val="26"/>
          <w:szCs w:val="26"/>
        </w:rPr>
        <w:t>in</w:t>
      </w:r>
      <w:proofErr w:type="spellEnd"/>
      <w:r w:rsidRPr="000B010C">
        <w:rPr>
          <w:sz w:val="26"/>
          <w:szCs w:val="26"/>
        </w:rPr>
        <w:t xml:space="preserve"> </w:t>
      </w:r>
      <w:proofErr w:type="spellStart"/>
      <w:r w:rsidRPr="000B010C">
        <w:rPr>
          <w:sz w:val="26"/>
          <w:szCs w:val="26"/>
        </w:rPr>
        <w:t>vitro</w:t>
      </w:r>
      <w:proofErr w:type="spellEnd"/>
      <w:r w:rsidRPr="000B010C">
        <w:rPr>
          <w:sz w:val="26"/>
          <w:szCs w:val="26"/>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 </w:t>
      </w:r>
    </w:p>
    <w:p w:rsidR="00D51C1F" w:rsidRDefault="00D51C1F" w:rsidP="00D51C1F">
      <w:pPr>
        <w:widowControl w:val="0"/>
        <w:autoSpaceDE w:val="0"/>
        <w:ind w:firstLine="567"/>
        <w:jc w:val="both"/>
        <w:rPr>
          <w:rFonts w:eastAsia="Arial"/>
          <w:color w:val="000000"/>
          <w:sz w:val="26"/>
          <w:szCs w:val="26"/>
          <w:lang w:bidi="en-US"/>
        </w:rPr>
      </w:pPr>
      <w:r w:rsidRPr="000B010C">
        <w:rPr>
          <w:rFonts w:eastAsia="Arial"/>
          <w:color w:val="000000"/>
          <w:sz w:val="26"/>
          <w:szCs w:val="26"/>
          <w:lang w:bidi="en-US"/>
        </w:rPr>
        <w:t>Ортопедическая обувь должна с</w:t>
      </w:r>
      <w:bookmarkStart w:id="0" w:name="_GoBack"/>
      <w:bookmarkEnd w:id="0"/>
      <w:r w:rsidRPr="000B010C">
        <w:rPr>
          <w:rFonts w:eastAsia="Arial"/>
          <w:color w:val="000000"/>
          <w:sz w:val="26"/>
          <w:szCs w:val="26"/>
          <w:lang w:bidi="en-US"/>
        </w:rPr>
        <w:t>оответствовать ГОСТ Р 54407-2011 «Обувь ортопедическая. Общие технические условия», а также требованиям типового технологического процесса и образцам-эталонам, утвержденным медико-технической комиссией предприятия-изготовителя (п. 6.1. ГОСТ Р 54407-2011).</w:t>
      </w:r>
    </w:p>
    <w:tbl>
      <w:tblPr>
        <w:tblW w:w="5000" w:type="pct"/>
        <w:tblLook w:val="04A0" w:firstRow="1" w:lastRow="0" w:firstColumn="1" w:lastColumn="0" w:noHBand="0" w:noVBand="1"/>
      </w:tblPr>
      <w:tblGrid>
        <w:gridCol w:w="563"/>
        <w:gridCol w:w="2039"/>
        <w:gridCol w:w="4624"/>
        <w:gridCol w:w="2127"/>
        <w:gridCol w:w="842"/>
      </w:tblGrid>
      <w:tr w:rsidR="00D51C1F" w:rsidRPr="00A003BC" w:rsidTr="00A22645">
        <w:trPr>
          <w:trHeight w:val="473"/>
        </w:trPr>
        <w:tc>
          <w:tcPr>
            <w:tcW w:w="276" w:type="pct"/>
            <w:vMerge w:val="restart"/>
            <w:tcBorders>
              <w:top w:val="single" w:sz="4" w:space="0" w:color="000000"/>
              <w:left w:val="single" w:sz="4" w:space="0" w:color="000000"/>
              <w:right w:val="nil"/>
            </w:tcBorders>
            <w:vAlign w:val="center"/>
            <w:hideMark/>
          </w:tcPr>
          <w:p w:rsidR="00D51C1F" w:rsidRPr="00D51C1F" w:rsidRDefault="00D51C1F" w:rsidP="00D51C1F">
            <w:pPr>
              <w:widowControl w:val="0"/>
              <w:suppressAutoHyphens/>
              <w:jc w:val="center"/>
              <w:rPr>
                <w:rFonts w:eastAsia="Lucida Sans Unicode" w:cs="Tahoma"/>
                <w:color w:val="000000"/>
                <w:kern w:val="1"/>
                <w:lang w:val="en-US" w:eastAsia="en-US" w:bidi="en-US"/>
              </w:rPr>
            </w:pPr>
            <w:r w:rsidRPr="00D51C1F">
              <w:rPr>
                <w:rFonts w:eastAsia="Lucida Sans Unicode" w:cs="Tahoma"/>
                <w:color w:val="000000"/>
                <w:kern w:val="1"/>
                <w:lang w:val="en-US" w:eastAsia="en-US" w:bidi="en-US"/>
              </w:rPr>
              <w:t>№</w:t>
            </w:r>
          </w:p>
          <w:p w:rsidR="00D51C1F" w:rsidRPr="00D51C1F" w:rsidRDefault="00D51C1F" w:rsidP="00D51C1F">
            <w:pPr>
              <w:widowControl w:val="0"/>
              <w:suppressAutoHyphens/>
              <w:jc w:val="center"/>
              <w:rPr>
                <w:rFonts w:eastAsia="Lucida Sans Unicode" w:cs="Tahoma"/>
                <w:color w:val="000000"/>
                <w:kern w:val="1"/>
                <w:lang w:val="en-US" w:eastAsia="en-US" w:bidi="en-US"/>
              </w:rPr>
            </w:pPr>
            <w:r w:rsidRPr="00D51C1F">
              <w:rPr>
                <w:rFonts w:eastAsia="Lucida Sans Unicode" w:cs="Tahoma"/>
                <w:color w:val="000000"/>
                <w:kern w:val="1"/>
                <w:lang w:val="en-US" w:eastAsia="en-US" w:bidi="en-US"/>
              </w:rPr>
              <w:t>п/п</w:t>
            </w:r>
          </w:p>
        </w:tc>
        <w:tc>
          <w:tcPr>
            <w:tcW w:w="1000" w:type="pct"/>
            <w:vMerge w:val="restart"/>
            <w:tcBorders>
              <w:top w:val="single" w:sz="4" w:space="0" w:color="000000"/>
              <w:left w:val="single" w:sz="4" w:space="0" w:color="000000"/>
              <w:right w:val="nil"/>
            </w:tcBorders>
            <w:vAlign w:val="center"/>
            <w:hideMark/>
          </w:tcPr>
          <w:p w:rsidR="00D51C1F" w:rsidRPr="00D51C1F" w:rsidRDefault="00D51C1F" w:rsidP="00D51C1F">
            <w:pPr>
              <w:widowControl w:val="0"/>
              <w:suppressAutoHyphens/>
              <w:jc w:val="center"/>
              <w:rPr>
                <w:rFonts w:eastAsia="Lucida Sans Unicode" w:cs="Tahoma"/>
                <w:color w:val="000000"/>
                <w:kern w:val="1"/>
                <w:lang w:val="en-US" w:eastAsia="en-US" w:bidi="en-US"/>
              </w:rPr>
            </w:pPr>
            <w:proofErr w:type="spellStart"/>
            <w:r w:rsidRPr="00D51C1F">
              <w:rPr>
                <w:rFonts w:eastAsia="Lucida Sans Unicode" w:cs="Tahoma"/>
                <w:color w:val="000000"/>
                <w:kern w:val="1"/>
                <w:lang w:val="en-US" w:eastAsia="en-US" w:bidi="en-US"/>
              </w:rPr>
              <w:t>Наименование</w:t>
            </w:r>
            <w:proofErr w:type="spellEnd"/>
            <w:r w:rsidRPr="00D51C1F">
              <w:rPr>
                <w:rFonts w:eastAsia="Lucida Sans Unicode" w:cs="Tahoma"/>
                <w:color w:val="000000"/>
                <w:kern w:val="1"/>
                <w:lang w:val="en-US" w:eastAsia="en-US" w:bidi="en-US"/>
              </w:rPr>
              <w:t xml:space="preserve"> </w:t>
            </w:r>
          </w:p>
        </w:tc>
        <w:tc>
          <w:tcPr>
            <w:tcW w:w="3311" w:type="pct"/>
            <w:gridSpan w:val="2"/>
            <w:tcBorders>
              <w:top w:val="single" w:sz="4" w:space="0" w:color="000000"/>
              <w:left w:val="single" w:sz="4" w:space="0" w:color="000000"/>
              <w:bottom w:val="single" w:sz="4" w:space="0" w:color="000000"/>
              <w:right w:val="nil"/>
            </w:tcBorders>
            <w:vAlign w:val="center"/>
          </w:tcPr>
          <w:p w:rsidR="00D51C1F" w:rsidRPr="00CC036E" w:rsidRDefault="00D51C1F" w:rsidP="00D51C1F">
            <w:pPr>
              <w:widowControl w:val="0"/>
              <w:suppressAutoHyphens/>
              <w:autoSpaceDE w:val="0"/>
              <w:autoSpaceDN w:val="0"/>
              <w:adjustRightInd w:val="0"/>
              <w:jc w:val="center"/>
              <w:rPr>
                <w:rFonts w:eastAsia="Andale Sans UI"/>
                <w:kern w:val="1"/>
                <w:sz w:val="20"/>
                <w:szCs w:val="20"/>
                <w:lang w:eastAsia="ar-SA"/>
              </w:rPr>
            </w:pPr>
            <w:r w:rsidRPr="009C7B79">
              <w:t>Описание (характеристики) объекта закупки</w:t>
            </w:r>
            <w:r w:rsidRPr="009C7B79">
              <w:rPr>
                <w:vertAlign w:val="superscript"/>
              </w:rPr>
              <w:footnoteReference w:id="1"/>
            </w:r>
          </w:p>
        </w:tc>
        <w:tc>
          <w:tcPr>
            <w:tcW w:w="413" w:type="pct"/>
            <w:vMerge w:val="restart"/>
            <w:tcBorders>
              <w:top w:val="single" w:sz="4" w:space="0" w:color="auto"/>
              <w:left w:val="single" w:sz="4" w:space="0" w:color="auto"/>
              <w:right w:val="single" w:sz="4" w:space="0" w:color="auto"/>
            </w:tcBorders>
            <w:vAlign w:val="center"/>
          </w:tcPr>
          <w:p w:rsidR="00D51C1F" w:rsidRPr="00A003BC" w:rsidRDefault="00D51C1F" w:rsidP="00D51C1F">
            <w:pPr>
              <w:autoSpaceDE w:val="0"/>
              <w:autoSpaceDN w:val="0"/>
              <w:adjustRightInd w:val="0"/>
              <w:jc w:val="center"/>
            </w:pPr>
            <w:r w:rsidRPr="00A003BC">
              <w:t>Ед. изм.</w:t>
            </w:r>
          </w:p>
        </w:tc>
      </w:tr>
      <w:tr w:rsidR="00D51C1F" w:rsidRPr="00A003BC" w:rsidTr="00D51C1F">
        <w:trPr>
          <w:trHeight w:val="769"/>
        </w:trPr>
        <w:tc>
          <w:tcPr>
            <w:tcW w:w="276" w:type="pct"/>
            <w:vMerge/>
            <w:tcBorders>
              <w:left w:val="single" w:sz="4" w:space="0" w:color="000000"/>
              <w:bottom w:val="single" w:sz="4" w:space="0" w:color="000000"/>
              <w:right w:val="nil"/>
            </w:tcBorders>
            <w:vAlign w:val="center"/>
          </w:tcPr>
          <w:p w:rsidR="00D51C1F" w:rsidRPr="00A003BC" w:rsidRDefault="00D51C1F" w:rsidP="00D51C1F">
            <w:pPr>
              <w:autoSpaceDE w:val="0"/>
              <w:autoSpaceDN w:val="0"/>
              <w:adjustRightInd w:val="0"/>
              <w:jc w:val="center"/>
            </w:pPr>
          </w:p>
        </w:tc>
        <w:tc>
          <w:tcPr>
            <w:tcW w:w="1000" w:type="pct"/>
            <w:vMerge/>
            <w:tcBorders>
              <w:left w:val="single" w:sz="4" w:space="0" w:color="000000"/>
              <w:bottom w:val="single" w:sz="4" w:space="0" w:color="000000"/>
              <w:right w:val="nil"/>
            </w:tcBorders>
            <w:vAlign w:val="center"/>
          </w:tcPr>
          <w:p w:rsidR="00D51C1F" w:rsidRPr="00A003BC" w:rsidRDefault="00D51C1F" w:rsidP="00D51C1F">
            <w:pPr>
              <w:autoSpaceDE w:val="0"/>
              <w:autoSpaceDN w:val="0"/>
              <w:adjustRightInd w:val="0"/>
              <w:jc w:val="center"/>
            </w:pPr>
          </w:p>
        </w:tc>
        <w:tc>
          <w:tcPr>
            <w:tcW w:w="2268" w:type="pct"/>
            <w:tcBorders>
              <w:top w:val="single" w:sz="4" w:space="0" w:color="000000"/>
              <w:left w:val="single" w:sz="4" w:space="0" w:color="000000"/>
              <w:bottom w:val="single" w:sz="4" w:space="0" w:color="000000"/>
              <w:right w:val="nil"/>
            </w:tcBorders>
            <w:vAlign w:val="center"/>
          </w:tcPr>
          <w:p w:rsidR="00D51C1F" w:rsidRPr="009C7B79" w:rsidRDefault="00D51C1F" w:rsidP="00D51C1F">
            <w:pPr>
              <w:jc w:val="center"/>
            </w:pPr>
            <w:r w:rsidRPr="009C7B79">
              <w:t>Наименование показателя</w:t>
            </w:r>
            <w:r w:rsidRPr="009C7B79">
              <w:rPr>
                <w:vertAlign w:val="superscript"/>
              </w:rPr>
              <w:t xml:space="preserve"> </w:t>
            </w:r>
            <w:r w:rsidRPr="009C7B79">
              <w:rPr>
                <w:vertAlign w:val="superscript"/>
              </w:rPr>
              <w:footnoteReference w:id="2"/>
            </w:r>
          </w:p>
          <w:p w:rsidR="00D51C1F" w:rsidRPr="009C7B79" w:rsidRDefault="00D51C1F" w:rsidP="00D51C1F">
            <w:pPr>
              <w:jc w:val="center"/>
              <w:rPr>
                <w:color w:val="FF0000"/>
              </w:rPr>
            </w:pPr>
            <w:r w:rsidRPr="009C7B79">
              <w:rPr>
                <w:color w:val="FF0000"/>
              </w:rPr>
              <w:t>(неизменяемое)</w:t>
            </w:r>
          </w:p>
        </w:tc>
        <w:tc>
          <w:tcPr>
            <w:tcW w:w="1043" w:type="pct"/>
            <w:tcBorders>
              <w:top w:val="single" w:sz="4" w:space="0" w:color="000000"/>
              <w:left w:val="single" w:sz="4" w:space="0" w:color="000000"/>
              <w:bottom w:val="single" w:sz="4" w:space="0" w:color="000000"/>
              <w:right w:val="nil"/>
            </w:tcBorders>
            <w:vAlign w:val="center"/>
          </w:tcPr>
          <w:p w:rsidR="00D51C1F" w:rsidRPr="009C7B79" w:rsidRDefault="00D51C1F" w:rsidP="00D51C1F">
            <w:pPr>
              <w:autoSpaceDE w:val="0"/>
              <w:autoSpaceDN w:val="0"/>
              <w:adjustRightInd w:val="0"/>
              <w:jc w:val="center"/>
            </w:pPr>
            <w:r w:rsidRPr="009C7B79">
              <w:t>Значения показателей, которые не могут изменяться</w:t>
            </w:r>
            <w:r w:rsidRPr="009C7B79">
              <w:rPr>
                <w:vertAlign w:val="superscript"/>
              </w:rPr>
              <w:footnoteReference w:id="3"/>
            </w:r>
          </w:p>
          <w:p w:rsidR="00D51C1F" w:rsidRPr="009C7B79" w:rsidRDefault="00D51C1F" w:rsidP="00D51C1F">
            <w:pPr>
              <w:autoSpaceDE w:val="0"/>
              <w:autoSpaceDN w:val="0"/>
              <w:adjustRightInd w:val="0"/>
              <w:jc w:val="center"/>
              <w:rPr>
                <w:color w:val="FF0000"/>
              </w:rPr>
            </w:pPr>
            <w:r w:rsidRPr="009C7B79">
              <w:rPr>
                <w:color w:val="FF0000"/>
              </w:rPr>
              <w:t>(неизменяемое)</w:t>
            </w:r>
          </w:p>
        </w:tc>
        <w:tc>
          <w:tcPr>
            <w:tcW w:w="413" w:type="pct"/>
            <w:vMerge/>
            <w:tcBorders>
              <w:left w:val="single" w:sz="4" w:space="0" w:color="auto"/>
              <w:bottom w:val="single" w:sz="4" w:space="0" w:color="auto"/>
              <w:right w:val="single" w:sz="4" w:space="0" w:color="auto"/>
            </w:tcBorders>
            <w:vAlign w:val="center"/>
          </w:tcPr>
          <w:p w:rsidR="00D51C1F" w:rsidRPr="00A003BC" w:rsidRDefault="00D51C1F" w:rsidP="00D51C1F">
            <w:pPr>
              <w:autoSpaceDE w:val="0"/>
              <w:autoSpaceDN w:val="0"/>
              <w:adjustRightInd w:val="0"/>
              <w:jc w:val="center"/>
            </w:pPr>
          </w:p>
        </w:tc>
      </w:tr>
      <w:tr w:rsidR="00D51C1F" w:rsidRPr="00A003BC" w:rsidTr="00D51C1F">
        <w:trPr>
          <w:trHeight w:val="257"/>
        </w:trPr>
        <w:tc>
          <w:tcPr>
            <w:tcW w:w="276" w:type="pct"/>
            <w:tcBorders>
              <w:top w:val="single" w:sz="4" w:space="0" w:color="000000"/>
              <w:left w:val="single" w:sz="4" w:space="0" w:color="000000"/>
              <w:bottom w:val="single" w:sz="4" w:space="0" w:color="000000"/>
              <w:right w:val="nil"/>
            </w:tcBorders>
            <w:hideMark/>
          </w:tcPr>
          <w:p w:rsidR="00D51C1F" w:rsidRPr="00A003BC" w:rsidRDefault="00D51C1F" w:rsidP="00B96117">
            <w:pPr>
              <w:autoSpaceDE w:val="0"/>
              <w:autoSpaceDN w:val="0"/>
              <w:adjustRightInd w:val="0"/>
              <w:jc w:val="center"/>
            </w:pPr>
            <w:r w:rsidRPr="00A003BC">
              <w:t>1.</w:t>
            </w:r>
          </w:p>
        </w:tc>
        <w:tc>
          <w:tcPr>
            <w:tcW w:w="1000"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Ортопедическая обувь сложная без утепленной подкладки</w:t>
            </w:r>
          </w:p>
        </w:tc>
        <w:tc>
          <w:tcPr>
            <w:tcW w:w="2268" w:type="pct"/>
            <w:vMerge w:val="restart"/>
            <w:tcBorders>
              <w:top w:val="single" w:sz="4" w:space="0" w:color="000000"/>
              <w:left w:val="single" w:sz="4" w:space="0" w:color="000000"/>
              <w:right w:val="nil"/>
            </w:tcBorders>
          </w:tcPr>
          <w:p w:rsidR="00D51C1F" w:rsidRPr="00A003BC" w:rsidRDefault="00D51C1F" w:rsidP="00D51C1F">
            <w:pPr>
              <w:jc w:val="both"/>
            </w:pPr>
            <w:r w:rsidRPr="00A003BC">
              <w:t>Сложная ортопедическая обувь предназначена для людей с выраженными нарушениями статодинамической функции (п. 3.1. ГОСТ Р 54407-2011).</w:t>
            </w:r>
          </w:p>
          <w:p w:rsidR="00D51C1F" w:rsidRPr="00A003BC" w:rsidRDefault="00D51C1F" w:rsidP="00D51C1F">
            <w:pPr>
              <w:jc w:val="both"/>
            </w:pPr>
            <w:r w:rsidRPr="00A003BC">
              <w:t>Сложная ортопедическая обувь только с индивидуальными параметрами изготовления. (п.6.2.5. ГОСТ Р 54407-2011).</w:t>
            </w:r>
          </w:p>
          <w:p w:rsidR="00D51C1F" w:rsidRPr="00A003BC" w:rsidRDefault="00D51C1F" w:rsidP="00D51C1F">
            <w:pPr>
              <w:jc w:val="both"/>
            </w:pPr>
            <w:r w:rsidRPr="00A003BC">
              <w:t>В конструкции обуви учтены анатомо-функциональные особенности конкретного человека, обувь изготовлена по медицинскому заказу (п.3.3. ГОСТ Р 54407-2011).</w:t>
            </w:r>
          </w:p>
          <w:p w:rsidR="00D51C1F" w:rsidRPr="00A003BC" w:rsidRDefault="00D51C1F" w:rsidP="00D51C1F">
            <w:pPr>
              <w:jc w:val="both"/>
            </w:pPr>
            <w:r w:rsidRPr="00A003BC">
              <w:t xml:space="preserve">Сложная ортопедическая обувь имеет не менее двух специальных ортопедических деталей, </w:t>
            </w:r>
            <w:proofErr w:type="spellStart"/>
            <w:r w:rsidRPr="00A003BC">
              <w:t>межстелечный</w:t>
            </w:r>
            <w:proofErr w:type="spellEnd"/>
            <w:r w:rsidRPr="00A003BC">
              <w:t xml:space="preserve"> слой в виде коска, </w:t>
            </w:r>
            <w:proofErr w:type="spellStart"/>
            <w:r w:rsidRPr="00A003BC">
              <w:t>межстелечный</w:t>
            </w:r>
            <w:proofErr w:type="spellEnd"/>
            <w:r w:rsidRPr="00A003BC">
              <w:t xml:space="preserve"> слой в виде пробки высотой </w:t>
            </w:r>
            <w:r w:rsidRPr="00A003BC">
              <w:lastRenderedPageBreak/>
              <w:t>30 мм и более (п. 6.2.5.  ГОСТ Р 54407-2011).</w:t>
            </w:r>
          </w:p>
          <w:p w:rsidR="00D51C1F" w:rsidRPr="00A003BC" w:rsidRDefault="00D51C1F" w:rsidP="00D51C1F">
            <w:pPr>
              <w:jc w:val="both"/>
            </w:pPr>
            <w:r w:rsidRPr="00A003BC">
              <w:t>Сложная ортопедическая обувь в соответствии с ее функциональным назначением и медицинскими показаниями включает несколько компонентов из нижеперечисленного перечня:</w:t>
            </w:r>
          </w:p>
          <w:p w:rsidR="00D51C1F" w:rsidRPr="00A003BC" w:rsidRDefault="00D51C1F" w:rsidP="00D51C1F">
            <w:pPr>
              <w:jc w:val="both"/>
            </w:pPr>
            <w:r w:rsidRPr="00A003BC">
              <w:t>а) специальные жесткие детали:</w:t>
            </w:r>
          </w:p>
          <w:p w:rsidR="00D51C1F" w:rsidRPr="00A003BC" w:rsidRDefault="00D51C1F" w:rsidP="00D51C1F">
            <w:pPr>
              <w:jc w:val="both"/>
            </w:pPr>
            <w:r w:rsidRPr="00A003BC">
              <w:t xml:space="preserve">- союзка жесткая, </w:t>
            </w:r>
            <w:proofErr w:type="spellStart"/>
            <w:r w:rsidRPr="00A003BC">
              <w:t>полусоюзка</w:t>
            </w:r>
            <w:proofErr w:type="spellEnd"/>
            <w:r w:rsidRPr="00A003BC">
              <w:t xml:space="preserve"> жесткая, </w:t>
            </w:r>
            <w:proofErr w:type="spellStart"/>
            <w:r w:rsidRPr="00A003BC">
              <w:t>берц</w:t>
            </w:r>
            <w:proofErr w:type="spellEnd"/>
            <w:r w:rsidRPr="00A003BC">
              <w:t xml:space="preserve"> жесткий односторонний, </w:t>
            </w:r>
            <w:proofErr w:type="spellStart"/>
            <w:r w:rsidRPr="00A003BC">
              <w:t>берц</w:t>
            </w:r>
            <w:proofErr w:type="spellEnd"/>
            <w:r w:rsidRPr="00A003BC">
              <w:t xml:space="preserve"> жесткий двусторонний, </w:t>
            </w:r>
            <w:proofErr w:type="spellStart"/>
            <w:r w:rsidRPr="00A003BC">
              <w:t>берц</w:t>
            </w:r>
            <w:proofErr w:type="spellEnd"/>
            <w:r w:rsidRPr="00A003BC">
              <w:t xml:space="preserve"> жесткий круговой, задний жесткий </w:t>
            </w:r>
            <w:proofErr w:type="spellStart"/>
            <w:r w:rsidRPr="00A003BC">
              <w:t>берц</w:t>
            </w:r>
            <w:proofErr w:type="spellEnd"/>
            <w:r w:rsidRPr="00A003BC">
              <w:t xml:space="preserve">, задник с </w:t>
            </w:r>
            <w:proofErr w:type="gramStart"/>
            <w:r w:rsidRPr="00A003BC">
              <w:t>укороченными,  с</w:t>
            </w:r>
            <w:proofErr w:type="gramEnd"/>
            <w:r w:rsidRPr="00A003BC">
              <w:t xml:space="preserve"> удлиненными крыльями, задник накладной, подносок удлиненный, укороченный, серповидный, язычок жесткий, передний жесткий клапан, бочок жесткий, передний жесткий клапан, бочок жесткий, стелька верхняя фигурная (с козырьком, невысокой боковой поддержкой).</w:t>
            </w:r>
          </w:p>
          <w:p w:rsidR="00D51C1F" w:rsidRPr="00A003BC" w:rsidRDefault="00D51C1F" w:rsidP="00D51C1F">
            <w:pPr>
              <w:jc w:val="both"/>
            </w:pPr>
            <w:r w:rsidRPr="00A003BC">
              <w:t>б) специальные мягкие детали:</w:t>
            </w:r>
          </w:p>
          <w:p w:rsidR="00D51C1F" w:rsidRPr="00A003BC" w:rsidRDefault="00D51C1F" w:rsidP="00D51C1F">
            <w:pPr>
              <w:jc w:val="both"/>
            </w:pPr>
            <w:r w:rsidRPr="00A003BC">
              <w:t xml:space="preserve">- боковой внутренний ремень, дополнительная шнуровка, тяги, </w:t>
            </w:r>
            <w:proofErr w:type="spellStart"/>
            <w:r w:rsidRPr="00A003BC">
              <w:t>притяжной</w:t>
            </w:r>
            <w:proofErr w:type="spellEnd"/>
            <w:r w:rsidRPr="00A003BC">
              <w:t xml:space="preserve"> ремень, шнуровка.</w:t>
            </w:r>
          </w:p>
          <w:p w:rsidR="00D51C1F" w:rsidRPr="00A003BC" w:rsidRDefault="00D51C1F" w:rsidP="00D51C1F">
            <w:pPr>
              <w:jc w:val="both"/>
            </w:pPr>
            <w:r w:rsidRPr="00A003BC">
              <w:t>в) специальные металлические детали:</w:t>
            </w:r>
          </w:p>
          <w:p w:rsidR="00D51C1F" w:rsidRPr="00A003BC" w:rsidRDefault="00D51C1F" w:rsidP="00D51C1F">
            <w:pPr>
              <w:jc w:val="both"/>
            </w:pPr>
            <w:r w:rsidRPr="00A003BC">
              <w:t>- пластина для ортопедической обуви, шины стальные, планшетки корсетные.</w:t>
            </w:r>
          </w:p>
          <w:p w:rsidR="00D51C1F" w:rsidRPr="00A003BC" w:rsidRDefault="00D51C1F" w:rsidP="00D51C1F">
            <w:pPr>
              <w:jc w:val="both"/>
            </w:pPr>
            <w:r w:rsidRPr="00A003BC">
              <w:t xml:space="preserve">г) </w:t>
            </w:r>
            <w:proofErr w:type="spellStart"/>
            <w:r w:rsidRPr="00A003BC">
              <w:t>межстелечные</w:t>
            </w:r>
            <w:proofErr w:type="spellEnd"/>
            <w:r w:rsidRPr="00A003BC">
              <w:t xml:space="preserve"> слои:</w:t>
            </w:r>
          </w:p>
          <w:p w:rsidR="00D51C1F" w:rsidRPr="00A003BC" w:rsidRDefault="00D51C1F" w:rsidP="00D51C1F">
            <w:pPr>
              <w:jc w:val="both"/>
            </w:pPr>
            <w:r w:rsidRPr="00A003BC">
              <w:t>- выкладка сводов (наружного и внутреннего), вкладка внутреннего свода, косок, супинатор, пронатор, пробка, двойной след.</w:t>
            </w:r>
          </w:p>
          <w:p w:rsidR="00D51C1F" w:rsidRPr="00A003BC" w:rsidRDefault="00D51C1F" w:rsidP="00D51C1F">
            <w:pPr>
              <w:jc w:val="both"/>
            </w:pPr>
            <w:proofErr w:type="spellStart"/>
            <w:r w:rsidRPr="00A003BC">
              <w:t>Межстелечные</w:t>
            </w:r>
            <w:proofErr w:type="spellEnd"/>
            <w:r w:rsidRPr="00A003BC">
              <w:t xml:space="preserve"> слои изготовлены в виде единого блока, включающего один или несколько из вышеуказанных элементов.</w:t>
            </w:r>
          </w:p>
          <w:p w:rsidR="00D51C1F" w:rsidRPr="00A003BC" w:rsidRDefault="00D51C1F" w:rsidP="00D51C1F">
            <w:pPr>
              <w:jc w:val="both"/>
            </w:pPr>
            <w:r w:rsidRPr="00A003BC">
              <w:t>д) специальные детали низа:</w:t>
            </w:r>
          </w:p>
          <w:p w:rsidR="00D51C1F" w:rsidRPr="00A003BC" w:rsidRDefault="00D51C1F" w:rsidP="00D51C1F">
            <w:pPr>
              <w:jc w:val="both"/>
            </w:pPr>
            <w:r w:rsidRPr="00A003BC">
              <w:t>- каблук и подошва особой формы.</w:t>
            </w:r>
          </w:p>
          <w:p w:rsidR="00D51C1F" w:rsidRPr="00A003BC" w:rsidRDefault="00D51C1F" w:rsidP="00D51C1F">
            <w:pPr>
              <w:jc w:val="both"/>
            </w:pPr>
            <w:r w:rsidRPr="00A003BC">
              <w:t xml:space="preserve">При обработке сложной ортопедической обуви предусматривается не менее </w:t>
            </w:r>
            <w:proofErr w:type="gramStart"/>
            <w:r w:rsidRPr="00A003BC">
              <w:t>2  примерок</w:t>
            </w:r>
            <w:proofErr w:type="gramEnd"/>
            <w:r w:rsidRPr="00A003BC">
              <w:t>.</w:t>
            </w:r>
          </w:p>
          <w:p w:rsidR="00D51C1F" w:rsidRPr="00A003BC" w:rsidRDefault="00D51C1F" w:rsidP="00D51C1F">
            <w:pPr>
              <w:jc w:val="both"/>
            </w:pPr>
            <w:r w:rsidRPr="00A003BC">
              <w:t>Перечень материалов, применяемых при изготовлении ортопедической обуви, в соответствии с п. 6.3. ГОСТ Р 54407-2011.</w:t>
            </w:r>
          </w:p>
          <w:p w:rsidR="00D51C1F" w:rsidRPr="00A003BC" w:rsidRDefault="00D51C1F" w:rsidP="00D51C1F">
            <w:pPr>
              <w:jc w:val="both"/>
            </w:pPr>
            <w:r w:rsidRPr="00A003BC">
              <w:t>Наружные детали верха ортопедической обуви - натуральные материалы (п. 6.3. ГОСТ</w:t>
            </w:r>
          </w:p>
          <w:p w:rsidR="00D51C1F" w:rsidRPr="00A003BC" w:rsidRDefault="00D51C1F" w:rsidP="00D51C1F">
            <w:pPr>
              <w:jc w:val="both"/>
            </w:pPr>
            <w:r w:rsidRPr="00A003BC">
              <w:t>Р 54407-2011).</w:t>
            </w:r>
          </w:p>
          <w:p w:rsidR="00D51C1F" w:rsidRPr="00A003BC" w:rsidRDefault="00D51C1F" w:rsidP="00D51C1F">
            <w:pPr>
              <w:jc w:val="both"/>
            </w:pPr>
            <w:r w:rsidRPr="00A003BC">
              <w:t>Ортопедическая обувь должна иметь маркировку (п. 6.5.2.  ГОСТ Р 54407-2011) с указанием:</w:t>
            </w:r>
          </w:p>
          <w:p w:rsidR="00D51C1F" w:rsidRPr="00A003BC" w:rsidRDefault="00D51C1F" w:rsidP="00D51C1F">
            <w:pPr>
              <w:jc w:val="both"/>
            </w:pPr>
            <w:r w:rsidRPr="00A003BC">
              <w:t>- товарный знак или наименование предприятия-изготовителя;</w:t>
            </w:r>
          </w:p>
          <w:p w:rsidR="00D51C1F" w:rsidRPr="00A003BC" w:rsidRDefault="00D51C1F" w:rsidP="00D51C1F">
            <w:pPr>
              <w:jc w:val="both"/>
            </w:pPr>
            <w:r w:rsidRPr="00A003BC">
              <w:t>- номер заказа;</w:t>
            </w:r>
          </w:p>
          <w:p w:rsidR="00D51C1F" w:rsidRPr="00A003BC" w:rsidRDefault="00D51C1F" w:rsidP="00D51C1F">
            <w:pPr>
              <w:jc w:val="both"/>
            </w:pPr>
            <w:r w:rsidRPr="00A003BC">
              <w:t>- номера контролера (отметки) ОТК.</w:t>
            </w:r>
          </w:p>
          <w:p w:rsidR="00D51C1F" w:rsidRPr="00A003BC" w:rsidRDefault="00D51C1F" w:rsidP="00D51C1F">
            <w:pPr>
              <w:jc w:val="both"/>
            </w:pPr>
            <w:r w:rsidRPr="00A003BC">
              <w:lastRenderedPageBreak/>
              <w:t>Обувь на протезы предназначена для людей с ограничениями жизнедеятельности, пользующихся протезами нижних конечностей. Обувь не должна препятствовать нормальному функционированию стопы сохранившейся конечности, не должна нарушать биомеханических показателей ходьбы на протезе.</w:t>
            </w:r>
          </w:p>
          <w:p w:rsidR="00D51C1F" w:rsidRPr="00A003BC" w:rsidRDefault="00D51C1F" w:rsidP="00D51C1F">
            <w:pPr>
              <w:jc w:val="both"/>
            </w:pPr>
            <w:r w:rsidRPr="00A003BC">
              <w:t>Допускается изготавливать обувь на протезы с заготовкой верха, конструкция которой учитывает анатомо-функциональные особенности пользователей (п.6.2.4 ГОСТ Р 544</w:t>
            </w:r>
            <w:r w:rsidRPr="00A003BC">
              <w:rPr>
                <w:i/>
              </w:rPr>
              <w:t>07</w:t>
            </w:r>
            <w:r w:rsidRPr="00A003BC">
              <w:t>-2011)</w:t>
            </w:r>
          </w:p>
        </w:tc>
        <w:tc>
          <w:tcPr>
            <w:tcW w:w="1043"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lastRenderedPageBreak/>
              <w:t>Соответствует</w:t>
            </w:r>
          </w:p>
        </w:tc>
        <w:tc>
          <w:tcPr>
            <w:tcW w:w="413" w:type="pct"/>
            <w:tcBorders>
              <w:top w:val="single" w:sz="4" w:space="0" w:color="auto"/>
              <w:left w:val="single" w:sz="4" w:space="0" w:color="000000"/>
              <w:bottom w:val="single" w:sz="4" w:space="0" w:color="000000"/>
              <w:right w:val="single" w:sz="4" w:space="0" w:color="auto"/>
            </w:tcBorders>
          </w:tcPr>
          <w:p w:rsidR="00D51C1F" w:rsidRPr="00A003BC" w:rsidRDefault="00D51C1F" w:rsidP="00B96117">
            <w:pPr>
              <w:jc w:val="center"/>
            </w:pPr>
            <w:r w:rsidRPr="00A003BC">
              <w:t>пара</w:t>
            </w:r>
          </w:p>
        </w:tc>
      </w:tr>
      <w:tr w:rsidR="00D51C1F" w:rsidRPr="00A003BC" w:rsidTr="00D51C1F">
        <w:trPr>
          <w:trHeight w:val="285"/>
        </w:trPr>
        <w:tc>
          <w:tcPr>
            <w:tcW w:w="276"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2.</w:t>
            </w:r>
          </w:p>
        </w:tc>
        <w:tc>
          <w:tcPr>
            <w:tcW w:w="1000"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Ортопедическая обувь сложная на сохраненную конечность и обувь на протез без утепленной подкладки</w:t>
            </w:r>
          </w:p>
        </w:tc>
        <w:tc>
          <w:tcPr>
            <w:tcW w:w="2268" w:type="pct"/>
            <w:vMerge/>
            <w:tcBorders>
              <w:left w:val="single" w:sz="4" w:space="0" w:color="000000"/>
              <w:right w:val="nil"/>
            </w:tcBorders>
          </w:tcPr>
          <w:p w:rsidR="00D51C1F" w:rsidRPr="00A003BC" w:rsidRDefault="00D51C1F" w:rsidP="00D51C1F">
            <w:pPr>
              <w:autoSpaceDE w:val="0"/>
              <w:autoSpaceDN w:val="0"/>
              <w:adjustRightInd w:val="0"/>
              <w:jc w:val="both"/>
            </w:pPr>
          </w:p>
        </w:tc>
        <w:tc>
          <w:tcPr>
            <w:tcW w:w="1043"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Соответствует</w:t>
            </w:r>
          </w:p>
        </w:tc>
        <w:tc>
          <w:tcPr>
            <w:tcW w:w="413" w:type="pct"/>
            <w:tcBorders>
              <w:top w:val="single" w:sz="4" w:space="0" w:color="000000"/>
              <w:left w:val="single" w:sz="4" w:space="0" w:color="000000"/>
              <w:bottom w:val="single" w:sz="4" w:space="0" w:color="000000"/>
              <w:right w:val="single" w:sz="4" w:space="0" w:color="auto"/>
            </w:tcBorders>
          </w:tcPr>
          <w:p w:rsidR="00D51C1F" w:rsidRPr="00A003BC" w:rsidRDefault="00D51C1F" w:rsidP="00B96117">
            <w:pPr>
              <w:jc w:val="center"/>
            </w:pPr>
            <w:r w:rsidRPr="00A003BC">
              <w:t>пара</w:t>
            </w:r>
          </w:p>
        </w:tc>
      </w:tr>
      <w:tr w:rsidR="00D51C1F" w:rsidRPr="00A003BC" w:rsidTr="00D51C1F">
        <w:trPr>
          <w:trHeight w:val="285"/>
        </w:trPr>
        <w:tc>
          <w:tcPr>
            <w:tcW w:w="276"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3.</w:t>
            </w:r>
          </w:p>
        </w:tc>
        <w:tc>
          <w:tcPr>
            <w:tcW w:w="1000" w:type="pct"/>
            <w:tcBorders>
              <w:top w:val="single" w:sz="4" w:space="0" w:color="000000"/>
              <w:left w:val="single" w:sz="4" w:space="0" w:color="000000"/>
              <w:bottom w:val="single" w:sz="4" w:space="0" w:color="000000"/>
              <w:right w:val="nil"/>
            </w:tcBorders>
          </w:tcPr>
          <w:p w:rsidR="00D51C1F" w:rsidRPr="00A003BC" w:rsidRDefault="00D772F9" w:rsidP="00B96117">
            <w:pPr>
              <w:autoSpaceDE w:val="0"/>
              <w:autoSpaceDN w:val="0"/>
              <w:adjustRightInd w:val="0"/>
              <w:jc w:val="center"/>
            </w:pPr>
            <w:r w:rsidRPr="00D772F9">
              <w:t>Ортопедическая обувь на протезы при двусторонней ампутации нижних конечностей</w:t>
            </w:r>
          </w:p>
        </w:tc>
        <w:tc>
          <w:tcPr>
            <w:tcW w:w="2268" w:type="pct"/>
            <w:vMerge/>
            <w:tcBorders>
              <w:left w:val="single" w:sz="4" w:space="0" w:color="000000"/>
              <w:right w:val="nil"/>
            </w:tcBorders>
          </w:tcPr>
          <w:p w:rsidR="00D51C1F" w:rsidRPr="00A003BC" w:rsidRDefault="00D51C1F" w:rsidP="00D51C1F">
            <w:pPr>
              <w:autoSpaceDE w:val="0"/>
              <w:autoSpaceDN w:val="0"/>
              <w:adjustRightInd w:val="0"/>
              <w:jc w:val="both"/>
            </w:pPr>
          </w:p>
        </w:tc>
        <w:tc>
          <w:tcPr>
            <w:tcW w:w="1043"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Соответствует</w:t>
            </w:r>
          </w:p>
        </w:tc>
        <w:tc>
          <w:tcPr>
            <w:tcW w:w="413" w:type="pct"/>
            <w:tcBorders>
              <w:top w:val="single" w:sz="4" w:space="0" w:color="000000"/>
              <w:left w:val="single" w:sz="4" w:space="0" w:color="000000"/>
              <w:bottom w:val="single" w:sz="4" w:space="0" w:color="000000"/>
              <w:right w:val="single" w:sz="4" w:space="0" w:color="auto"/>
            </w:tcBorders>
          </w:tcPr>
          <w:p w:rsidR="00D51C1F" w:rsidRPr="00A003BC" w:rsidRDefault="00D51C1F" w:rsidP="00B96117">
            <w:pPr>
              <w:jc w:val="center"/>
            </w:pPr>
            <w:r w:rsidRPr="00A003BC">
              <w:t>пара</w:t>
            </w:r>
          </w:p>
        </w:tc>
      </w:tr>
      <w:tr w:rsidR="00D51C1F" w:rsidRPr="00A003BC" w:rsidTr="00D51C1F">
        <w:trPr>
          <w:trHeight w:val="285"/>
        </w:trPr>
        <w:tc>
          <w:tcPr>
            <w:tcW w:w="276"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lastRenderedPageBreak/>
              <w:t>4.</w:t>
            </w:r>
          </w:p>
        </w:tc>
        <w:tc>
          <w:tcPr>
            <w:tcW w:w="1000"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Ортопедическая обувь сложная на аппарат без утепленной подкладки</w:t>
            </w:r>
          </w:p>
        </w:tc>
        <w:tc>
          <w:tcPr>
            <w:tcW w:w="2268" w:type="pct"/>
            <w:vMerge/>
            <w:tcBorders>
              <w:left w:val="single" w:sz="4" w:space="0" w:color="000000"/>
              <w:right w:val="nil"/>
            </w:tcBorders>
          </w:tcPr>
          <w:p w:rsidR="00D51C1F" w:rsidRPr="00A003BC" w:rsidRDefault="00D51C1F" w:rsidP="00D51C1F">
            <w:pPr>
              <w:autoSpaceDE w:val="0"/>
              <w:autoSpaceDN w:val="0"/>
              <w:adjustRightInd w:val="0"/>
              <w:jc w:val="both"/>
            </w:pPr>
          </w:p>
        </w:tc>
        <w:tc>
          <w:tcPr>
            <w:tcW w:w="1043"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Соответствует</w:t>
            </w:r>
          </w:p>
        </w:tc>
        <w:tc>
          <w:tcPr>
            <w:tcW w:w="413" w:type="pct"/>
            <w:tcBorders>
              <w:top w:val="single" w:sz="4" w:space="0" w:color="000000"/>
              <w:left w:val="single" w:sz="4" w:space="0" w:color="000000"/>
              <w:bottom w:val="single" w:sz="4" w:space="0" w:color="000000"/>
              <w:right w:val="single" w:sz="4" w:space="0" w:color="auto"/>
            </w:tcBorders>
          </w:tcPr>
          <w:p w:rsidR="00D51C1F" w:rsidRPr="00A003BC" w:rsidRDefault="00D51C1F" w:rsidP="00B96117">
            <w:pPr>
              <w:jc w:val="center"/>
            </w:pPr>
            <w:r w:rsidRPr="00A003BC">
              <w:t>пара</w:t>
            </w:r>
          </w:p>
        </w:tc>
      </w:tr>
      <w:tr w:rsidR="00D51C1F" w:rsidRPr="00A003BC" w:rsidTr="00D51C1F">
        <w:trPr>
          <w:trHeight w:val="285"/>
        </w:trPr>
        <w:tc>
          <w:tcPr>
            <w:tcW w:w="276"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lastRenderedPageBreak/>
              <w:t>5.</w:t>
            </w:r>
          </w:p>
        </w:tc>
        <w:tc>
          <w:tcPr>
            <w:tcW w:w="1000"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Ортопедическая обувь сложная на утепленной подкладке</w:t>
            </w:r>
          </w:p>
        </w:tc>
        <w:tc>
          <w:tcPr>
            <w:tcW w:w="2268" w:type="pct"/>
            <w:vMerge/>
            <w:tcBorders>
              <w:left w:val="single" w:sz="4" w:space="0" w:color="000000"/>
              <w:right w:val="nil"/>
            </w:tcBorders>
          </w:tcPr>
          <w:p w:rsidR="00D51C1F" w:rsidRPr="00A003BC" w:rsidRDefault="00D51C1F" w:rsidP="00D51C1F">
            <w:pPr>
              <w:autoSpaceDE w:val="0"/>
              <w:autoSpaceDN w:val="0"/>
              <w:adjustRightInd w:val="0"/>
              <w:jc w:val="both"/>
            </w:pPr>
          </w:p>
        </w:tc>
        <w:tc>
          <w:tcPr>
            <w:tcW w:w="1043"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Соответствует</w:t>
            </w:r>
          </w:p>
        </w:tc>
        <w:tc>
          <w:tcPr>
            <w:tcW w:w="413" w:type="pct"/>
            <w:tcBorders>
              <w:top w:val="single" w:sz="4" w:space="0" w:color="000000"/>
              <w:left w:val="single" w:sz="4" w:space="0" w:color="000000"/>
              <w:bottom w:val="single" w:sz="4" w:space="0" w:color="000000"/>
              <w:right w:val="single" w:sz="4" w:space="0" w:color="auto"/>
            </w:tcBorders>
          </w:tcPr>
          <w:p w:rsidR="00D51C1F" w:rsidRPr="00A003BC" w:rsidRDefault="00D51C1F" w:rsidP="00B96117">
            <w:pPr>
              <w:jc w:val="center"/>
            </w:pPr>
            <w:r w:rsidRPr="00A003BC">
              <w:t>пара</w:t>
            </w:r>
          </w:p>
        </w:tc>
      </w:tr>
      <w:tr w:rsidR="00D51C1F" w:rsidRPr="00A003BC" w:rsidTr="00D51C1F">
        <w:trPr>
          <w:trHeight w:val="285"/>
        </w:trPr>
        <w:tc>
          <w:tcPr>
            <w:tcW w:w="276"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6.</w:t>
            </w:r>
          </w:p>
        </w:tc>
        <w:tc>
          <w:tcPr>
            <w:tcW w:w="1000"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Ортопедическая обувь сложная на сохраненную конечность и обувь на протез на утепленной подкладке</w:t>
            </w:r>
          </w:p>
        </w:tc>
        <w:tc>
          <w:tcPr>
            <w:tcW w:w="2268" w:type="pct"/>
            <w:vMerge/>
            <w:tcBorders>
              <w:left w:val="single" w:sz="4" w:space="0" w:color="000000"/>
              <w:right w:val="nil"/>
            </w:tcBorders>
          </w:tcPr>
          <w:p w:rsidR="00D51C1F" w:rsidRPr="00A003BC" w:rsidRDefault="00D51C1F" w:rsidP="00D51C1F">
            <w:pPr>
              <w:autoSpaceDE w:val="0"/>
              <w:autoSpaceDN w:val="0"/>
              <w:adjustRightInd w:val="0"/>
              <w:jc w:val="both"/>
            </w:pPr>
          </w:p>
        </w:tc>
        <w:tc>
          <w:tcPr>
            <w:tcW w:w="1043"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Соответствует</w:t>
            </w:r>
          </w:p>
        </w:tc>
        <w:tc>
          <w:tcPr>
            <w:tcW w:w="413" w:type="pct"/>
            <w:tcBorders>
              <w:top w:val="single" w:sz="4" w:space="0" w:color="000000"/>
              <w:left w:val="single" w:sz="4" w:space="0" w:color="000000"/>
              <w:bottom w:val="single" w:sz="4" w:space="0" w:color="000000"/>
              <w:right w:val="single" w:sz="4" w:space="0" w:color="auto"/>
            </w:tcBorders>
          </w:tcPr>
          <w:p w:rsidR="00D51C1F" w:rsidRPr="00A003BC" w:rsidRDefault="00D51C1F" w:rsidP="00B96117">
            <w:pPr>
              <w:jc w:val="center"/>
            </w:pPr>
            <w:r w:rsidRPr="00A003BC">
              <w:t>пара</w:t>
            </w:r>
          </w:p>
        </w:tc>
      </w:tr>
      <w:tr w:rsidR="00D51C1F" w:rsidRPr="00A003BC" w:rsidTr="00D51C1F">
        <w:trPr>
          <w:trHeight w:val="285"/>
        </w:trPr>
        <w:tc>
          <w:tcPr>
            <w:tcW w:w="276"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7.</w:t>
            </w:r>
          </w:p>
        </w:tc>
        <w:tc>
          <w:tcPr>
            <w:tcW w:w="1000"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Ортопедическая обувь сложная на аппарат на утепленной подкладке</w:t>
            </w:r>
          </w:p>
        </w:tc>
        <w:tc>
          <w:tcPr>
            <w:tcW w:w="2268" w:type="pct"/>
            <w:vMerge/>
            <w:tcBorders>
              <w:left w:val="single" w:sz="4" w:space="0" w:color="000000"/>
              <w:bottom w:val="single" w:sz="4" w:space="0" w:color="000000"/>
              <w:right w:val="nil"/>
            </w:tcBorders>
          </w:tcPr>
          <w:p w:rsidR="00D51C1F" w:rsidRPr="00A003BC" w:rsidRDefault="00D51C1F" w:rsidP="00D51C1F">
            <w:pPr>
              <w:autoSpaceDE w:val="0"/>
              <w:autoSpaceDN w:val="0"/>
              <w:adjustRightInd w:val="0"/>
              <w:jc w:val="both"/>
            </w:pPr>
          </w:p>
        </w:tc>
        <w:tc>
          <w:tcPr>
            <w:tcW w:w="1043"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Соответствует</w:t>
            </w:r>
          </w:p>
        </w:tc>
        <w:tc>
          <w:tcPr>
            <w:tcW w:w="413" w:type="pct"/>
            <w:tcBorders>
              <w:top w:val="single" w:sz="4" w:space="0" w:color="000000"/>
              <w:left w:val="single" w:sz="4" w:space="0" w:color="000000"/>
              <w:bottom w:val="single" w:sz="4" w:space="0" w:color="000000"/>
              <w:right w:val="single" w:sz="4" w:space="0" w:color="auto"/>
            </w:tcBorders>
          </w:tcPr>
          <w:p w:rsidR="00D51C1F" w:rsidRPr="00A003BC" w:rsidRDefault="00D51C1F" w:rsidP="00B96117">
            <w:pPr>
              <w:jc w:val="center"/>
            </w:pPr>
            <w:r w:rsidRPr="00A003BC">
              <w:t>пара</w:t>
            </w:r>
          </w:p>
        </w:tc>
      </w:tr>
      <w:tr w:rsidR="00D51C1F" w:rsidRPr="00A003BC" w:rsidTr="00D51C1F">
        <w:trPr>
          <w:trHeight w:val="285"/>
        </w:trPr>
        <w:tc>
          <w:tcPr>
            <w:tcW w:w="276"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lastRenderedPageBreak/>
              <w:t>8.</w:t>
            </w:r>
          </w:p>
        </w:tc>
        <w:tc>
          <w:tcPr>
            <w:tcW w:w="1000"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Обувь ортопедическая малосложная без утепленной подкладки</w:t>
            </w:r>
          </w:p>
        </w:tc>
        <w:tc>
          <w:tcPr>
            <w:tcW w:w="2268" w:type="pct"/>
            <w:vMerge w:val="restart"/>
            <w:tcBorders>
              <w:top w:val="single" w:sz="4" w:space="0" w:color="000000"/>
              <w:left w:val="single" w:sz="4" w:space="0" w:color="000000"/>
              <w:right w:val="nil"/>
            </w:tcBorders>
          </w:tcPr>
          <w:p w:rsidR="00D51C1F" w:rsidRPr="00A003BC" w:rsidRDefault="00D51C1F" w:rsidP="00D51C1F">
            <w:pPr>
              <w:jc w:val="both"/>
            </w:pPr>
            <w:r w:rsidRPr="00A003BC">
              <w:t xml:space="preserve">Обувь ортопедическая малосложная всех половозрастных групп назначается при плоской стопе, вальгусной деформации стоп, отклонении большого пальца к наружи и резко выраженных сочетаниях деформации стоп, </w:t>
            </w:r>
            <w:proofErr w:type="spellStart"/>
            <w:r w:rsidRPr="00A003BC">
              <w:t>сгибательной</w:t>
            </w:r>
            <w:proofErr w:type="spellEnd"/>
            <w:r w:rsidRPr="00A003BC">
              <w:t xml:space="preserve"> контрактуры пальцев, деформации ногтей, </w:t>
            </w:r>
            <w:proofErr w:type="spellStart"/>
            <w:r w:rsidRPr="00A003BC">
              <w:t>молоткообразных</w:t>
            </w:r>
            <w:proofErr w:type="spellEnd"/>
            <w:r w:rsidRPr="00A003BC">
              <w:t xml:space="preserve"> пальцев и резко выраженных сочетаниях деформации стоп, полой стопе и резко выраженных сочетанных деформациях стоп, множественных рубцах подошвенной поверхности стопы, поперечном плоскостопии, пяточной шпоры с дополнительными сопутствующими деформациями, изготовление обуви, специальных деталей, </w:t>
            </w:r>
            <w:proofErr w:type="spellStart"/>
            <w:r w:rsidRPr="00A003BC">
              <w:t>межстелечных</w:t>
            </w:r>
            <w:proofErr w:type="spellEnd"/>
            <w:r w:rsidRPr="00A003BC">
              <w:t xml:space="preserve"> слоев по обмерам с подгонкой колодки.</w:t>
            </w:r>
          </w:p>
        </w:tc>
        <w:tc>
          <w:tcPr>
            <w:tcW w:w="1043"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Соответствует</w:t>
            </w:r>
          </w:p>
        </w:tc>
        <w:tc>
          <w:tcPr>
            <w:tcW w:w="413" w:type="pct"/>
            <w:tcBorders>
              <w:top w:val="single" w:sz="4" w:space="0" w:color="000000"/>
              <w:left w:val="single" w:sz="4" w:space="0" w:color="000000"/>
              <w:bottom w:val="single" w:sz="4" w:space="0" w:color="000000"/>
              <w:right w:val="single" w:sz="4" w:space="0" w:color="auto"/>
            </w:tcBorders>
          </w:tcPr>
          <w:p w:rsidR="00D51C1F" w:rsidRPr="00A003BC" w:rsidRDefault="00D51C1F" w:rsidP="00B96117">
            <w:pPr>
              <w:jc w:val="center"/>
            </w:pPr>
            <w:r w:rsidRPr="00A003BC">
              <w:t>пара</w:t>
            </w:r>
          </w:p>
        </w:tc>
      </w:tr>
      <w:tr w:rsidR="00D51C1F" w:rsidRPr="00A003BC" w:rsidTr="00D51C1F">
        <w:trPr>
          <w:trHeight w:val="285"/>
        </w:trPr>
        <w:tc>
          <w:tcPr>
            <w:tcW w:w="276"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9.</w:t>
            </w:r>
          </w:p>
        </w:tc>
        <w:tc>
          <w:tcPr>
            <w:tcW w:w="1000"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Ортопедическая обувь малосложная на утепленной подкладке</w:t>
            </w:r>
          </w:p>
        </w:tc>
        <w:tc>
          <w:tcPr>
            <w:tcW w:w="2268" w:type="pct"/>
            <w:vMerge/>
            <w:tcBorders>
              <w:left w:val="single" w:sz="4" w:space="0" w:color="000000"/>
              <w:bottom w:val="single" w:sz="4" w:space="0" w:color="000000"/>
              <w:right w:val="nil"/>
            </w:tcBorders>
          </w:tcPr>
          <w:p w:rsidR="00D51C1F" w:rsidRPr="00A003BC" w:rsidRDefault="00D51C1F" w:rsidP="00D51C1F">
            <w:pPr>
              <w:autoSpaceDE w:val="0"/>
              <w:autoSpaceDN w:val="0"/>
              <w:adjustRightInd w:val="0"/>
              <w:jc w:val="both"/>
            </w:pPr>
          </w:p>
        </w:tc>
        <w:tc>
          <w:tcPr>
            <w:tcW w:w="1043"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Соответствует</w:t>
            </w:r>
          </w:p>
        </w:tc>
        <w:tc>
          <w:tcPr>
            <w:tcW w:w="413" w:type="pct"/>
            <w:tcBorders>
              <w:top w:val="single" w:sz="4" w:space="0" w:color="000000"/>
              <w:left w:val="single" w:sz="4" w:space="0" w:color="000000"/>
              <w:bottom w:val="single" w:sz="4" w:space="0" w:color="000000"/>
              <w:right w:val="single" w:sz="4" w:space="0" w:color="auto"/>
            </w:tcBorders>
          </w:tcPr>
          <w:p w:rsidR="00D51C1F" w:rsidRPr="00A003BC" w:rsidRDefault="00D51C1F" w:rsidP="00B96117">
            <w:pPr>
              <w:autoSpaceDE w:val="0"/>
              <w:autoSpaceDN w:val="0"/>
              <w:adjustRightInd w:val="0"/>
              <w:jc w:val="center"/>
            </w:pPr>
            <w:r w:rsidRPr="00A003BC">
              <w:t>пара</w:t>
            </w:r>
          </w:p>
        </w:tc>
      </w:tr>
      <w:tr w:rsidR="00D51C1F" w:rsidRPr="00A003BC" w:rsidTr="00D51C1F">
        <w:trPr>
          <w:trHeight w:val="285"/>
        </w:trPr>
        <w:tc>
          <w:tcPr>
            <w:tcW w:w="276"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10.</w:t>
            </w:r>
          </w:p>
        </w:tc>
        <w:tc>
          <w:tcPr>
            <w:tcW w:w="1000"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Ортопедическая вкладная стелька</w:t>
            </w:r>
          </w:p>
        </w:tc>
        <w:tc>
          <w:tcPr>
            <w:tcW w:w="2268" w:type="pct"/>
            <w:tcBorders>
              <w:top w:val="single" w:sz="4" w:space="0" w:color="000000"/>
              <w:left w:val="single" w:sz="4" w:space="0" w:color="000000"/>
              <w:bottom w:val="single" w:sz="4" w:space="0" w:color="000000"/>
              <w:right w:val="nil"/>
            </w:tcBorders>
          </w:tcPr>
          <w:p w:rsidR="00D51C1F" w:rsidRPr="00A003BC" w:rsidRDefault="00D51C1F" w:rsidP="00D51C1F">
            <w:pPr>
              <w:autoSpaceDE w:val="0"/>
              <w:autoSpaceDN w:val="0"/>
              <w:adjustRightInd w:val="0"/>
              <w:jc w:val="both"/>
            </w:pPr>
            <w:r w:rsidRPr="00A003BC">
              <w:t>Показана при: плоскостопии; плоско-вальгусной деформации стоп; укорочении нижних конечностей с компенсацией не менее чем до 3 см. Обеспечивает полужесткую поддержку внутреннего продольного и поперечного сводов стопы, уменьшение ударной нагрузки на пятку, суставы нижних конечностей и позвоночник, создание комфортных условий при ходьбе. Изготавливается по индивидуальному слепку. Материал - композиционный полиуретан, натуральная кожаная подкладка. Срок пользования 6 месяцев.</w:t>
            </w:r>
          </w:p>
        </w:tc>
        <w:tc>
          <w:tcPr>
            <w:tcW w:w="1043" w:type="pct"/>
            <w:tcBorders>
              <w:top w:val="single" w:sz="4" w:space="0" w:color="000000"/>
              <w:left w:val="single" w:sz="4" w:space="0" w:color="000000"/>
              <w:bottom w:val="single" w:sz="4" w:space="0" w:color="000000"/>
              <w:right w:val="nil"/>
            </w:tcBorders>
          </w:tcPr>
          <w:p w:rsidR="00D51C1F" w:rsidRPr="00A003BC" w:rsidRDefault="00D51C1F" w:rsidP="00B96117">
            <w:pPr>
              <w:autoSpaceDE w:val="0"/>
              <w:autoSpaceDN w:val="0"/>
              <w:adjustRightInd w:val="0"/>
              <w:jc w:val="center"/>
            </w:pPr>
            <w:r w:rsidRPr="00A003BC">
              <w:t>Соответствует</w:t>
            </w:r>
          </w:p>
        </w:tc>
        <w:tc>
          <w:tcPr>
            <w:tcW w:w="413" w:type="pct"/>
            <w:tcBorders>
              <w:top w:val="single" w:sz="4" w:space="0" w:color="000000"/>
              <w:left w:val="single" w:sz="4" w:space="0" w:color="000000"/>
              <w:bottom w:val="single" w:sz="4" w:space="0" w:color="000000"/>
              <w:right w:val="single" w:sz="4" w:space="0" w:color="auto"/>
            </w:tcBorders>
          </w:tcPr>
          <w:p w:rsidR="00D51C1F" w:rsidRPr="00A003BC" w:rsidRDefault="00D51C1F" w:rsidP="00B96117">
            <w:pPr>
              <w:autoSpaceDE w:val="0"/>
              <w:autoSpaceDN w:val="0"/>
              <w:adjustRightInd w:val="0"/>
              <w:jc w:val="center"/>
            </w:pPr>
            <w:r w:rsidRPr="00A003BC">
              <w:t>шт.</w:t>
            </w:r>
          </w:p>
        </w:tc>
      </w:tr>
    </w:tbl>
    <w:p w:rsidR="00D51C1F" w:rsidRDefault="00D51C1F" w:rsidP="001D4C81">
      <w:pPr>
        <w:autoSpaceDE w:val="0"/>
        <w:autoSpaceDN w:val="0"/>
        <w:adjustRightInd w:val="0"/>
        <w:jc w:val="both"/>
      </w:pPr>
    </w:p>
    <w:p w:rsidR="00D51C1F" w:rsidRDefault="00D51C1F" w:rsidP="001D4C81">
      <w:pPr>
        <w:autoSpaceDE w:val="0"/>
        <w:autoSpaceDN w:val="0"/>
        <w:adjustRightInd w:val="0"/>
        <w:jc w:val="both"/>
      </w:pPr>
    </w:p>
    <w:p w:rsidR="00D51C1F" w:rsidRDefault="00D51C1F" w:rsidP="001D4C81">
      <w:pPr>
        <w:autoSpaceDE w:val="0"/>
        <w:autoSpaceDN w:val="0"/>
        <w:adjustRightInd w:val="0"/>
        <w:jc w:val="both"/>
      </w:pPr>
    </w:p>
    <w:p w:rsidR="00126DEB" w:rsidRDefault="00DF3576" w:rsidP="001D4C81">
      <w:pPr>
        <w:autoSpaceDE w:val="0"/>
        <w:autoSpaceDN w:val="0"/>
        <w:adjustRightInd w:val="0"/>
        <w:jc w:val="both"/>
      </w:pPr>
      <w:r>
        <w:t xml:space="preserve">Объем подлежащих выполнению работ определить невозможно. Заказчик с учетом установленных в соответствии со статьей 19 Федерального закона 44-ФЗ требований к закупаемым заказчиком работам определяет начальную цену единиц работ, начальную сумму цен указанных единиц работ </w:t>
      </w:r>
      <w:proofErr w:type="gramStart"/>
      <w:r>
        <w:t>и  максима</w:t>
      </w:r>
      <w:r w:rsidR="001D4C81">
        <w:t>льное</w:t>
      </w:r>
      <w:proofErr w:type="gramEnd"/>
      <w:r w:rsidR="001D4C81">
        <w:t xml:space="preserve"> значение цены контракта. </w:t>
      </w:r>
    </w:p>
    <w:p w:rsidR="00DF3576" w:rsidRDefault="00DF3576"/>
    <w:sectPr w:rsidR="00DF3576"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3B9" w:rsidRDefault="007B33B9" w:rsidP="00D7115C">
      <w:r>
        <w:separator/>
      </w:r>
    </w:p>
  </w:endnote>
  <w:endnote w:type="continuationSeparator" w:id="0">
    <w:p w:rsidR="007B33B9" w:rsidRDefault="007B33B9"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3B9" w:rsidRDefault="007B33B9" w:rsidP="00D7115C">
      <w:r>
        <w:separator/>
      </w:r>
    </w:p>
  </w:footnote>
  <w:footnote w:type="continuationSeparator" w:id="0">
    <w:p w:rsidR="007B33B9" w:rsidRDefault="007B33B9" w:rsidP="00D7115C">
      <w:r>
        <w:continuationSeparator/>
      </w:r>
    </w:p>
  </w:footnote>
  <w:footnote w:id="1">
    <w:p w:rsidR="00D51C1F" w:rsidRDefault="00D51C1F" w:rsidP="001D4C81">
      <w:pPr>
        <w:pStyle w:val="a3"/>
      </w:pPr>
      <w:r>
        <w:rPr>
          <w:vertAlign w:val="superscript"/>
        </w:rPr>
        <w:t xml:space="preserve">1 </w:t>
      </w:r>
      <w:r>
        <w:t>Выделенные курсивом параметры являются изменяемыми, при подачи коммерческого предложения необходимо указать конкретные показатели.</w:t>
      </w:r>
    </w:p>
  </w:footnote>
  <w:footnote w:id="2">
    <w:p w:rsidR="00D51C1F" w:rsidRDefault="00D51C1F" w:rsidP="009A4C9B">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D51C1F" w:rsidRPr="00985908" w:rsidRDefault="00D51C1F" w:rsidP="009A4C9B">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07D6C"/>
    <w:rsid w:val="000210B0"/>
    <w:rsid w:val="000A37D4"/>
    <w:rsid w:val="000D3DE0"/>
    <w:rsid w:val="00126DEB"/>
    <w:rsid w:val="001A1B23"/>
    <w:rsid w:val="001C3450"/>
    <w:rsid w:val="001D4C81"/>
    <w:rsid w:val="003210F2"/>
    <w:rsid w:val="00353703"/>
    <w:rsid w:val="003D486E"/>
    <w:rsid w:val="004667AA"/>
    <w:rsid w:val="004D497F"/>
    <w:rsid w:val="004F2140"/>
    <w:rsid w:val="005935A0"/>
    <w:rsid w:val="007214BD"/>
    <w:rsid w:val="007463B3"/>
    <w:rsid w:val="007B33B9"/>
    <w:rsid w:val="007C105E"/>
    <w:rsid w:val="00852E8C"/>
    <w:rsid w:val="008A35F0"/>
    <w:rsid w:val="009226AD"/>
    <w:rsid w:val="009A4C9B"/>
    <w:rsid w:val="00A22645"/>
    <w:rsid w:val="00AC04AF"/>
    <w:rsid w:val="00B201AE"/>
    <w:rsid w:val="00BB7977"/>
    <w:rsid w:val="00CB0C96"/>
    <w:rsid w:val="00CB231F"/>
    <w:rsid w:val="00D01082"/>
    <w:rsid w:val="00D51C1F"/>
    <w:rsid w:val="00D7115C"/>
    <w:rsid w:val="00D772F9"/>
    <w:rsid w:val="00DC4D5C"/>
    <w:rsid w:val="00DF3576"/>
    <w:rsid w:val="00E35808"/>
    <w:rsid w:val="00E5266C"/>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D7115C"/>
    <w:rPr>
      <w:rFonts w:ascii="Times New Roman" w:eastAsia="Times New Roman" w:hAnsi="Times New Roman" w:cs="Times New Roman"/>
      <w:sz w:val="20"/>
      <w:szCs w:val="20"/>
      <w:lang w:eastAsia="ru-RU"/>
    </w:rPr>
  </w:style>
  <w:style w:type="character" w:customStyle="1" w:styleId="ng-binding">
    <w:name w:val="ng-binding"/>
    <w:basedOn w:val="a0"/>
    <w:rsid w:val="00D7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24</cp:revision>
  <dcterms:created xsi:type="dcterms:W3CDTF">2020-08-12T05:43:00Z</dcterms:created>
  <dcterms:modified xsi:type="dcterms:W3CDTF">2020-12-09T05:16:00Z</dcterms:modified>
</cp:coreProperties>
</file>