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01" w:rsidRPr="00456E54" w:rsidRDefault="00664801" w:rsidP="0018486A">
      <w:pPr>
        <w:pStyle w:val="afff"/>
        <w:rPr>
          <w:bCs/>
          <w:sz w:val="28"/>
          <w:szCs w:val="28"/>
          <w:lang w:eastAsia="en-US"/>
        </w:rPr>
      </w:pPr>
      <w:r w:rsidRPr="00456E54">
        <w:rPr>
          <w:bCs/>
          <w:sz w:val="28"/>
          <w:szCs w:val="28"/>
          <w:lang w:eastAsia="en-US"/>
        </w:rPr>
        <w:t>Техническое задание</w:t>
      </w:r>
    </w:p>
    <w:p w:rsidR="00AA42DC" w:rsidRPr="00456E54" w:rsidRDefault="00AA42DC" w:rsidP="00AA42DC">
      <w:pPr>
        <w:widowControl w:val="0"/>
        <w:ind w:firstLine="709"/>
        <w:jc w:val="both"/>
        <w:rPr>
          <w:rFonts w:eastAsia="Calibri"/>
          <w:sz w:val="26"/>
          <w:szCs w:val="26"/>
          <w:lang w:eastAsia="en-US"/>
        </w:rPr>
      </w:pPr>
      <w:r w:rsidRPr="00456E54">
        <w:rPr>
          <w:rFonts w:eastAsia="Calibri"/>
          <w:sz w:val="26"/>
          <w:szCs w:val="26"/>
          <w:lang w:eastAsia="en-US"/>
        </w:rPr>
        <w:t>1.</w:t>
      </w:r>
      <w:r w:rsidRPr="00456E54">
        <w:rPr>
          <w:rFonts w:eastAsia="Calibri"/>
          <w:sz w:val="26"/>
          <w:szCs w:val="26"/>
          <w:lang w:eastAsia="en-US"/>
        </w:rPr>
        <w:tab/>
        <w:t>Описание объекта закупки:</w:t>
      </w:r>
    </w:p>
    <w:p w:rsidR="00AA42DC" w:rsidRPr="00456E54" w:rsidRDefault="00AA42DC" w:rsidP="00AA42DC">
      <w:pPr>
        <w:widowControl w:val="0"/>
        <w:ind w:firstLine="709"/>
        <w:jc w:val="both"/>
        <w:rPr>
          <w:rFonts w:eastAsia="Calibri"/>
          <w:sz w:val="26"/>
          <w:szCs w:val="26"/>
          <w:lang w:eastAsia="en-US"/>
        </w:rPr>
      </w:pPr>
      <w:r w:rsidRPr="00456E54">
        <w:rPr>
          <w:rFonts w:eastAsia="Calibri"/>
          <w:sz w:val="26"/>
          <w:szCs w:val="26"/>
          <w:lang w:eastAsia="en-US"/>
        </w:rPr>
        <w:t>Оказание услуг по санаторно-курортному лечению застрахованных лиц, пострадавших вследствие несчастных случаев на производстве и профзаболеваний, в санаторно-курортных организациях, в том числе по путевкам.</w:t>
      </w:r>
    </w:p>
    <w:p w:rsidR="00AA42DC" w:rsidRPr="00456E54" w:rsidRDefault="00AA42DC" w:rsidP="00AA42DC">
      <w:pPr>
        <w:widowControl w:val="0"/>
        <w:ind w:firstLine="709"/>
        <w:jc w:val="both"/>
        <w:rPr>
          <w:rFonts w:eastAsia="Calibri"/>
          <w:sz w:val="26"/>
          <w:szCs w:val="26"/>
          <w:lang w:eastAsia="en-US"/>
        </w:rPr>
      </w:pPr>
      <w:r w:rsidRPr="00456E54">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456E54" w:rsidRDefault="00AA42DC" w:rsidP="00AA42DC">
      <w:pPr>
        <w:widowControl w:val="0"/>
        <w:ind w:firstLine="709"/>
        <w:jc w:val="both"/>
        <w:rPr>
          <w:rFonts w:eastAsia="Calibri"/>
          <w:sz w:val="26"/>
          <w:szCs w:val="26"/>
          <w:lang w:eastAsia="en-US"/>
        </w:rPr>
      </w:pPr>
      <w:r w:rsidRPr="00456E54">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Услуги по санаторно-курортному лечению должны быть выполнены и оказаны: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Р 52877-2007)</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 заверенную в надлежащем порядке.</w:t>
      </w:r>
    </w:p>
    <w:p w:rsidR="00AA42DC" w:rsidRPr="00456E54" w:rsidRDefault="00AA42DC" w:rsidP="00AA42DC">
      <w:pPr>
        <w:tabs>
          <w:tab w:val="left" w:pos="7087"/>
        </w:tabs>
        <w:ind w:firstLine="709"/>
        <w:jc w:val="both"/>
        <w:rPr>
          <w:rFonts w:eastAsia="Calibri"/>
          <w:sz w:val="26"/>
          <w:szCs w:val="26"/>
          <w:lang w:eastAsia="en-US"/>
        </w:rPr>
      </w:pPr>
      <w:r w:rsidRPr="00456E54">
        <w:rPr>
          <w:rFonts w:eastAsia="Calibri"/>
          <w:sz w:val="26"/>
          <w:szCs w:val="26"/>
          <w:lang w:eastAsia="en-US"/>
        </w:rPr>
        <w:tab/>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Общие требования к организациям, оказывающим санаторно-курортные услуги </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2. Требования к прилегающей территории и зоне отдыха:</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lastRenderedPageBreak/>
        <w:t>3. Требования к зданиям, техническому оборудованию и оснащению помещений организаций, оказывающих санаторно-курортные услуги:</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-Аварийное освещение и энергоснабжение (стационарный генератор или аккумуляторы и фонари)</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-Естественное и/или искусственное освещение в коридорах и на лестницах круглосуточно</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-Водоснабжение (круглосуточно) – горячее </w:t>
      </w:r>
      <w:proofErr w:type="gramStart"/>
      <w:r w:rsidRPr="00456E54">
        <w:rPr>
          <w:rFonts w:eastAsia="Calibri"/>
          <w:sz w:val="26"/>
          <w:szCs w:val="26"/>
          <w:lang w:eastAsia="en-US"/>
        </w:rPr>
        <w:t>и  холодное</w:t>
      </w:r>
      <w:proofErr w:type="gramEnd"/>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-Отопление, обеспечивающее температуру воздуха в жилых и общественных помещениях не ниже 18,5 °C</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-Звукоизоляция, обеспечивающая уровень шума менее 35 дБ.</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служба приема (круглосуточный прием);</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Жилой, лечебный, диагностический корпуса и столовая должны располагаться в одном здании или </w:t>
      </w:r>
      <w:proofErr w:type="gramStart"/>
      <w:r w:rsidRPr="00456E54">
        <w:rPr>
          <w:rFonts w:eastAsia="Calibri"/>
          <w:sz w:val="26"/>
          <w:szCs w:val="26"/>
          <w:lang w:eastAsia="en-US"/>
        </w:rPr>
        <w:t>в зданиях</w:t>
      </w:r>
      <w:proofErr w:type="gramEnd"/>
      <w:r w:rsidRPr="00456E54">
        <w:rPr>
          <w:rFonts w:eastAsia="Calibri"/>
          <w:sz w:val="26"/>
          <w:szCs w:val="26"/>
          <w:lang w:eastAsia="en-US"/>
        </w:rPr>
        <w:t xml:space="preserve"> соединенных теплыми переходами.</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 - </w:t>
      </w:r>
      <w:proofErr w:type="gramStart"/>
      <w:r w:rsidRPr="00456E54">
        <w:rPr>
          <w:rFonts w:eastAsia="Calibri"/>
          <w:sz w:val="26"/>
          <w:szCs w:val="26"/>
          <w:lang w:eastAsia="en-US"/>
        </w:rPr>
        <w:t>соответствовать  требованиям</w:t>
      </w:r>
      <w:proofErr w:type="gramEnd"/>
      <w:r w:rsidRPr="00456E54">
        <w:rPr>
          <w:rFonts w:eastAsia="Calibri"/>
          <w:sz w:val="26"/>
          <w:szCs w:val="26"/>
          <w:lang w:eastAsia="en-US"/>
        </w:rPr>
        <w:t xml:space="preserve"> СП 59.13330.2012 «Доступность зданий и сооружений для маломобильных групп населения» (Актуализированная редакция СНиП 35-01-2001 утвержденная Приказом </w:t>
      </w:r>
      <w:proofErr w:type="spellStart"/>
      <w:r w:rsidRPr="00456E54">
        <w:rPr>
          <w:rFonts w:eastAsia="Calibri"/>
          <w:sz w:val="26"/>
          <w:szCs w:val="26"/>
          <w:lang w:eastAsia="en-US"/>
        </w:rPr>
        <w:t>Минрегиона</w:t>
      </w:r>
      <w:proofErr w:type="spellEnd"/>
      <w:r w:rsidRPr="00456E54">
        <w:rPr>
          <w:rFonts w:eastAsia="Calibri"/>
          <w:sz w:val="26"/>
          <w:szCs w:val="26"/>
          <w:lang w:eastAsia="en-US"/>
        </w:rPr>
        <w:t xml:space="preserve"> России от 27.12.2011 № 605): </w:t>
      </w:r>
      <w:proofErr w:type="spellStart"/>
      <w:r w:rsidRPr="00456E54">
        <w:rPr>
          <w:rFonts w:eastAsia="Calibri"/>
          <w:sz w:val="26"/>
          <w:szCs w:val="26"/>
          <w:lang w:eastAsia="en-US"/>
        </w:rPr>
        <w:t>безбарьерная</w:t>
      </w:r>
      <w:proofErr w:type="spellEnd"/>
      <w:r w:rsidRPr="00456E54">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Должна быть обеспечена доступная среда для маломобильных групп населения.</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Площадь номера должна позволять проживающему свободно, удобно и </w:t>
      </w:r>
      <w:proofErr w:type="gramStart"/>
      <w:r w:rsidRPr="00456E54">
        <w:rPr>
          <w:rFonts w:eastAsia="Calibri"/>
          <w:sz w:val="26"/>
          <w:szCs w:val="26"/>
          <w:lang w:eastAsia="en-US"/>
        </w:rPr>
        <w:t>безопасно передвигаться</w:t>
      </w:r>
      <w:proofErr w:type="gramEnd"/>
      <w:r w:rsidRPr="00456E54">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 России от 05.08.2003 г. № 330 (ред. от 21.06.2013) "О мерах по совершенствованию лечебного питания в лечебно-профилактических учреждениях Российской Федерации". </w:t>
      </w:r>
    </w:p>
    <w:p w:rsidR="00AA42DC" w:rsidRPr="00456E54" w:rsidRDefault="00AA42DC" w:rsidP="00AA42DC">
      <w:pPr>
        <w:ind w:firstLine="709"/>
        <w:jc w:val="both"/>
        <w:rPr>
          <w:rFonts w:eastAsia="Calibri"/>
          <w:sz w:val="26"/>
          <w:szCs w:val="26"/>
          <w:lang w:eastAsia="en-US"/>
        </w:rPr>
      </w:pPr>
    </w:p>
    <w:p w:rsidR="00BF6AE5" w:rsidRPr="00456E54" w:rsidRDefault="00AA42DC" w:rsidP="00BF6AE5">
      <w:pPr>
        <w:ind w:firstLine="709"/>
        <w:jc w:val="both"/>
        <w:rPr>
          <w:rFonts w:eastAsia="Calibri"/>
          <w:sz w:val="26"/>
          <w:szCs w:val="26"/>
          <w:lang w:eastAsia="en-US"/>
        </w:rPr>
      </w:pPr>
      <w:r w:rsidRPr="00456E54">
        <w:rPr>
          <w:rFonts w:eastAsia="Calibri"/>
          <w:sz w:val="26"/>
          <w:szCs w:val="26"/>
          <w:lang w:eastAsia="en-US"/>
        </w:rPr>
        <w:t xml:space="preserve">Профиль лечения: </w:t>
      </w:r>
      <w:r w:rsidR="00BF6AE5" w:rsidRPr="00456E54">
        <w:rPr>
          <w:rFonts w:eastAsia="Calibri"/>
          <w:sz w:val="26"/>
          <w:szCs w:val="26"/>
          <w:lang w:eastAsia="en-US"/>
        </w:rPr>
        <w:t xml:space="preserve">болезни нервной системы, болезни костно-мышечной системы и соединительной ткани, болезни органов пищеварения, </w:t>
      </w:r>
      <w:proofErr w:type="gramStart"/>
      <w:r w:rsidR="00BF6AE5" w:rsidRPr="00456E54">
        <w:rPr>
          <w:rFonts w:eastAsia="Calibri"/>
          <w:sz w:val="26"/>
          <w:szCs w:val="26"/>
          <w:lang w:eastAsia="en-US"/>
        </w:rPr>
        <w:t>болезни  системы</w:t>
      </w:r>
      <w:proofErr w:type="gramEnd"/>
      <w:r w:rsidR="00BF6AE5" w:rsidRPr="00456E54">
        <w:rPr>
          <w:rFonts w:eastAsia="Calibri"/>
          <w:sz w:val="26"/>
          <w:szCs w:val="26"/>
          <w:lang w:eastAsia="en-US"/>
        </w:rPr>
        <w:t xml:space="preserve">  кровообращения, болезни эндокринной системы.</w:t>
      </w:r>
    </w:p>
    <w:p w:rsidR="00AA42DC" w:rsidRPr="00456E54" w:rsidRDefault="00AA42DC" w:rsidP="00AA42DC">
      <w:pPr>
        <w:ind w:firstLine="709"/>
        <w:jc w:val="both"/>
        <w:rPr>
          <w:sz w:val="26"/>
          <w:szCs w:val="26"/>
        </w:rPr>
      </w:pPr>
      <w:r w:rsidRPr="00456E54">
        <w:rPr>
          <w:rFonts w:eastAsia="Calibri"/>
          <w:sz w:val="26"/>
          <w:szCs w:val="26"/>
          <w:lang w:eastAsia="en-US"/>
        </w:rPr>
        <w:t>Лицензия на оказание санаторно-курортных услуг по профилю санаторно-курортного лечения:</w:t>
      </w:r>
      <w:r w:rsidRPr="00456E54">
        <w:rPr>
          <w:sz w:val="26"/>
          <w:szCs w:val="26"/>
        </w:rPr>
        <w:t xml:space="preserve"> </w:t>
      </w:r>
      <w:r w:rsidR="00920BE4" w:rsidRPr="00456E54">
        <w:rPr>
          <w:sz w:val="26"/>
          <w:szCs w:val="26"/>
        </w:rPr>
        <w:t xml:space="preserve">неврология, травматология и ортопедия, </w:t>
      </w:r>
      <w:r w:rsidRPr="00456E54">
        <w:rPr>
          <w:sz w:val="26"/>
          <w:szCs w:val="26"/>
        </w:rPr>
        <w:t xml:space="preserve">гастроэнтерология, кардиология, </w:t>
      </w:r>
      <w:r w:rsidR="00BF6AE5" w:rsidRPr="00456E54">
        <w:rPr>
          <w:sz w:val="26"/>
          <w:szCs w:val="26"/>
        </w:rPr>
        <w:t xml:space="preserve">эндокринология, </w:t>
      </w:r>
      <w:r w:rsidRPr="00456E54">
        <w:rPr>
          <w:sz w:val="26"/>
          <w:szCs w:val="26"/>
        </w:rPr>
        <w:t>профпатология.</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Требования к оказанию услуг: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56E54">
        <w:rPr>
          <w:sz w:val="26"/>
          <w:szCs w:val="26"/>
        </w:rPr>
        <w:t xml:space="preserve"> </w:t>
      </w:r>
      <w:r w:rsidRPr="00456E54">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456E54">
        <w:rPr>
          <w:rFonts w:eastAsia="Calibri"/>
          <w:sz w:val="26"/>
          <w:szCs w:val="26"/>
          <w:lang w:eastAsia="en-US"/>
        </w:rPr>
        <w:t>профпатологом</w:t>
      </w:r>
      <w:proofErr w:type="spellEnd"/>
      <w:r w:rsidRPr="00456E54">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456E54" w:rsidRDefault="00190187" w:rsidP="00AA42DC">
      <w:pPr>
        <w:ind w:firstLine="709"/>
        <w:jc w:val="both"/>
        <w:rPr>
          <w:rFonts w:eastAsia="Calibri"/>
          <w:sz w:val="26"/>
          <w:szCs w:val="26"/>
          <w:lang w:eastAsia="en-US"/>
        </w:rPr>
      </w:pPr>
      <w:r w:rsidRPr="00456E54">
        <w:rPr>
          <w:rFonts w:eastAsia="Calibri"/>
          <w:sz w:val="26"/>
          <w:szCs w:val="26"/>
          <w:lang w:eastAsia="en-US"/>
        </w:rPr>
        <w:t xml:space="preserve"> Требуется наличие питьевого бювета для питьевого лечения</w:t>
      </w:r>
      <w:r w:rsidR="00582E53" w:rsidRPr="00456E54">
        <w:rPr>
          <w:rFonts w:eastAsia="Calibri"/>
          <w:sz w:val="26"/>
          <w:szCs w:val="26"/>
          <w:lang w:eastAsia="en-US"/>
        </w:rPr>
        <w:t xml:space="preserve"> и грязелечебницы для грязелечения</w:t>
      </w:r>
      <w:r w:rsidR="00AA42DC" w:rsidRPr="00456E54">
        <w:rPr>
          <w:rFonts w:eastAsia="Calibri"/>
          <w:sz w:val="26"/>
          <w:szCs w:val="26"/>
          <w:lang w:eastAsia="en-US"/>
        </w:rPr>
        <w:t xml:space="preserve">. </w:t>
      </w:r>
      <w:r w:rsidR="00AA42DC" w:rsidRPr="00456E54">
        <w:rPr>
          <w:sz w:val="26"/>
          <w:szCs w:val="26"/>
        </w:rPr>
        <w:t xml:space="preserve">Требуется расположение санаторно-курортного учреждения </w:t>
      </w:r>
      <w:proofErr w:type="gramStart"/>
      <w:r w:rsidR="00AA42DC" w:rsidRPr="00456E54">
        <w:rPr>
          <w:sz w:val="26"/>
          <w:szCs w:val="26"/>
        </w:rPr>
        <w:t>в  парковой</w:t>
      </w:r>
      <w:proofErr w:type="gramEnd"/>
      <w:r w:rsidR="00AA42DC" w:rsidRPr="00456E54">
        <w:rPr>
          <w:sz w:val="26"/>
          <w:szCs w:val="26"/>
        </w:rPr>
        <w:t xml:space="preserve"> или лесопарковой зоне на первой прибрежной линии вдали от промышленны</w:t>
      </w:r>
      <w:r w:rsidRPr="00456E54">
        <w:rPr>
          <w:sz w:val="26"/>
          <w:szCs w:val="26"/>
        </w:rPr>
        <w:t>х предприятий и автомагистралей.</w:t>
      </w:r>
    </w:p>
    <w:p w:rsidR="00AA42DC" w:rsidRPr="00456E54" w:rsidRDefault="00AA42DC" w:rsidP="00AA42DC">
      <w:pPr>
        <w:ind w:firstLine="709"/>
        <w:jc w:val="both"/>
        <w:rPr>
          <w:rFonts w:eastAsia="Calibri"/>
          <w:sz w:val="26"/>
          <w:szCs w:val="26"/>
          <w:lang w:eastAsia="en-US"/>
        </w:rPr>
      </w:pP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 xml:space="preserve">Количество закупаемых услуг: </w:t>
      </w:r>
    </w:p>
    <w:p w:rsidR="00E35BFF" w:rsidRPr="00456E54" w:rsidRDefault="00AA42DC" w:rsidP="00E35BFF">
      <w:pPr>
        <w:pStyle w:val="affb"/>
        <w:tabs>
          <w:tab w:val="left" w:pos="3402"/>
        </w:tabs>
        <w:spacing w:after="0" w:line="276" w:lineRule="auto"/>
        <w:ind w:left="0" w:firstLine="709"/>
        <w:rPr>
          <w:rFonts w:eastAsia="Arial" w:cs="Arial"/>
          <w:sz w:val="26"/>
          <w:szCs w:val="26"/>
        </w:rPr>
      </w:pPr>
      <w:r w:rsidRPr="00456E54">
        <w:rPr>
          <w:rFonts w:eastAsia="Calibri"/>
          <w:sz w:val="26"/>
          <w:szCs w:val="26"/>
          <w:lang w:eastAsia="en-US"/>
        </w:rPr>
        <w:t xml:space="preserve">Срок лечения по путевке составляет 21 койко-день. </w:t>
      </w:r>
      <w:r w:rsidR="00E35BFF" w:rsidRPr="00456E54">
        <w:rPr>
          <w:rFonts w:eastAsia="Arial" w:cs="Arial"/>
          <w:b/>
          <w:sz w:val="26"/>
          <w:szCs w:val="26"/>
        </w:rPr>
        <w:t>5187</w:t>
      </w:r>
      <w:r w:rsidR="00E35BFF" w:rsidRPr="00456E54">
        <w:rPr>
          <w:rFonts w:eastAsia="Arial" w:cs="Arial"/>
          <w:sz w:val="26"/>
          <w:szCs w:val="26"/>
        </w:rPr>
        <w:t xml:space="preserve"> койко-дней (что составляет количество путевок –247 шт., продолжительность санаторно-курортного лечения – 21 день) для застрахованного лица и 126 койко-дня (что составляет количество путевок – 6 шт.) для сопровождающего лица. </w:t>
      </w:r>
    </w:p>
    <w:p w:rsidR="00AA42DC" w:rsidRPr="00456E54" w:rsidRDefault="00AA42DC" w:rsidP="00AA42DC">
      <w:pPr>
        <w:ind w:firstLine="709"/>
        <w:jc w:val="both"/>
        <w:rPr>
          <w:rFonts w:eastAsia="Calibri"/>
          <w:sz w:val="26"/>
          <w:szCs w:val="26"/>
          <w:lang w:eastAsia="en-US"/>
        </w:rPr>
      </w:pPr>
      <w:r w:rsidRPr="00456E54">
        <w:rPr>
          <w:rFonts w:eastAsia="Calibri"/>
          <w:sz w:val="26"/>
          <w:szCs w:val="26"/>
          <w:lang w:eastAsia="en-US"/>
        </w:rPr>
        <w:t>Место оказания услуг: Российская Федераци</w:t>
      </w:r>
      <w:r w:rsidR="00152B47" w:rsidRPr="00456E54">
        <w:rPr>
          <w:rFonts w:eastAsia="Calibri"/>
          <w:sz w:val="26"/>
          <w:szCs w:val="26"/>
          <w:lang w:eastAsia="en-US"/>
        </w:rPr>
        <w:t>я, лечебно-оздоровительная зона</w:t>
      </w:r>
      <w:r w:rsidRPr="00456E54">
        <w:rPr>
          <w:sz w:val="26"/>
          <w:szCs w:val="26"/>
        </w:rPr>
        <w:t>, предгорные курорты с мягким влажным субтропическим климатом, Туапсинская курортная зона</w:t>
      </w:r>
      <w:r w:rsidRPr="00456E54">
        <w:rPr>
          <w:rFonts w:eastAsia="Calibri"/>
          <w:sz w:val="26"/>
          <w:szCs w:val="26"/>
          <w:lang w:eastAsia="en-US"/>
        </w:rPr>
        <w:t>.</w:t>
      </w:r>
    </w:p>
    <w:p w:rsidR="00664801" w:rsidRPr="00252211" w:rsidRDefault="00AA42DC" w:rsidP="00190187">
      <w:pPr>
        <w:ind w:firstLine="709"/>
        <w:rPr>
          <w:rFonts w:eastAsia="Calibri"/>
          <w:sz w:val="26"/>
          <w:szCs w:val="26"/>
          <w:lang w:eastAsia="en-US"/>
        </w:rPr>
      </w:pPr>
      <w:r w:rsidRPr="00456E54">
        <w:rPr>
          <w:rFonts w:eastAsia="Calibri"/>
          <w:sz w:val="26"/>
          <w:szCs w:val="26"/>
          <w:lang w:eastAsia="en-US"/>
        </w:rPr>
        <w:t xml:space="preserve">Сроки оказания услуг: </w:t>
      </w:r>
      <w:r w:rsidR="00152B47" w:rsidRPr="00456E54">
        <w:rPr>
          <w:rFonts w:eastAsia="Calibri"/>
          <w:sz w:val="26"/>
          <w:szCs w:val="26"/>
          <w:lang w:eastAsia="en-US"/>
        </w:rPr>
        <w:t xml:space="preserve">Сроки оказания услуг: в течение 2021г. </w:t>
      </w:r>
      <w:r w:rsidR="00252211" w:rsidRPr="00456E54">
        <w:rPr>
          <w:rFonts w:eastAsia="Calibri"/>
          <w:sz w:val="26"/>
          <w:szCs w:val="26"/>
          <w:lang w:eastAsia="en-US"/>
        </w:rPr>
        <w:t>Срок окончания последнего заезда должен быть не позднее 15 декабря 2021 г.</w:t>
      </w:r>
      <w:bookmarkStart w:id="0" w:name="_GoBack"/>
      <w:bookmarkEnd w:id="0"/>
    </w:p>
    <w:p w:rsidR="0082560E" w:rsidRPr="00152B47" w:rsidRDefault="00664801" w:rsidP="00664801">
      <w:pPr>
        <w:pStyle w:val="afff"/>
        <w:spacing w:after="240"/>
        <w:jc w:val="left"/>
        <w:rPr>
          <w:b w:val="0"/>
          <w:sz w:val="28"/>
          <w:szCs w:val="28"/>
        </w:rPr>
      </w:pPr>
      <w:r w:rsidRPr="00152B47">
        <w:rPr>
          <w:b w:val="0"/>
          <w:sz w:val="28"/>
          <w:szCs w:val="28"/>
        </w:rPr>
        <w:t xml:space="preserve">                           </w:t>
      </w:r>
    </w:p>
    <w:p w:rsidR="00FB022F" w:rsidRPr="00152B47" w:rsidRDefault="00FB022F" w:rsidP="00FB022F">
      <w:pPr>
        <w:spacing w:after="120"/>
        <w:ind w:left="5400" w:firstLine="709"/>
        <w:jc w:val="right"/>
        <w:rPr>
          <w:i/>
          <w:sz w:val="28"/>
          <w:szCs w:val="28"/>
        </w:rPr>
      </w:pPr>
    </w:p>
    <w:sectPr w:rsidR="00FB022F" w:rsidRPr="00152B47" w:rsidSect="00E8275F">
      <w:footerReference w:type="even" r:id="rId8"/>
      <w:footerReference w:type="default" r:id="rId9"/>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90" w:rsidRDefault="00D41590">
      <w:r>
        <w:separator/>
      </w:r>
    </w:p>
  </w:endnote>
  <w:endnote w:type="continuationSeparator" w:id="0">
    <w:p w:rsidR="00D41590" w:rsidRDefault="00D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90" w:rsidRDefault="00D41590">
      <w:r>
        <w:separator/>
      </w:r>
    </w:p>
  </w:footnote>
  <w:footnote w:type="continuationSeparator" w:id="0">
    <w:p w:rsidR="00D41590" w:rsidRDefault="00D41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0E50148"/>
    <w:multiLevelType w:val="hybridMultilevel"/>
    <w:tmpl w:val="CA3637C8"/>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381A16"/>
    <w:multiLevelType w:val="hybridMultilevel"/>
    <w:tmpl w:val="A27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3">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0">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197E36EF"/>
    <w:multiLevelType w:val="hybridMultilevel"/>
    <w:tmpl w:val="6E36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CB03190"/>
    <w:multiLevelType w:val="hybridMultilevel"/>
    <w:tmpl w:val="FD1E162A"/>
    <w:lvl w:ilvl="0" w:tplc="B9DE2C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6362503"/>
    <w:multiLevelType w:val="hybridMultilevel"/>
    <w:tmpl w:val="AE568C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5">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7">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4EF63F9"/>
    <w:multiLevelType w:val="hybridMultilevel"/>
    <w:tmpl w:val="5560C23E"/>
    <w:lvl w:ilvl="0" w:tplc="37C25EC0">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2">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75D3173"/>
    <w:multiLevelType w:val="hybridMultilevel"/>
    <w:tmpl w:val="D864EE3A"/>
    <w:lvl w:ilvl="0" w:tplc="38A0A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8030875"/>
    <w:multiLevelType w:val="hybridMultilevel"/>
    <w:tmpl w:val="F392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0">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4">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81">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8">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0">
    <w:nsid w:val="546167B8"/>
    <w:multiLevelType w:val="hybridMultilevel"/>
    <w:tmpl w:val="64F2ED8E"/>
    <w:lvl w:ilvl="0" w:tplc="458C7C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9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3">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7">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1">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02">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3">
    <w:nsid w:val="5FE818C9"/>
    <w:multiLevelType w:val="hybridMultilevel"/>
    <w:tmpl w:val="03645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105">
    <w:nsid w:val="62687EE9"/>
    <w:multiLevelType w:val="hybridMultilevel"/>
    <w:tmpl w:val="35DEF2AE"/>
    <w:lvl w:ilvl="0" w:tplc="2536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56F11D3"/>
    <w:multiLevelType w:val="multilevel"/>
    <w:tmpl w:val="2F30C314"/>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7">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10">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9">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0">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2">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24">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9"/>
  </w:num>
  <w:num w:numId="2">
    <w:abstractNumId w:val="11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7"/>
  </w:num>
  <w:num w:numId="11">
    <w:abstractNumId w:val="96"/>
  </w:num>
  <w:num w:numId="12">
    <w:abstractNumId w:val="58"/>
  </w:num>
  <w:num w:numId="13">
    <w:abstractNumId w:val="34"/>
  </w:num>
  <w:num w:numId="14">
    <w:abstractNumId w:val="77"/>
  </w:num>
  <w:num w:numId="15">
    <w:abstractNumId w:val="112"/>
  </w:num>
  <w:num w:numId="16">
    <w:abstractNumId w:val="64"/>
  </w:num>
  <w:num w:numId="17">
    <w:abstractNumId w:val="19"/>
  </w:num>
  <w:num w:numId="18">
    <w:abstractNumId w:val="125"/>
  </w:num>
  <w:num w:numId="19">
    <w:abstractNumId w:val="43"/>
  </w:num>
  <w:num w:numId="20">
    <w:abstractNumId w:val="31"/>
  </w:num>
  <w:num w:numId="21">
    <w:abstractNumId w:val="75"/>
  </w:num>
  <w:num w:numId="22">
    <w:abstractNumId w:val="32"/>
  </w:num>
  <w:num w:numId="23">
    <w:abstractNumId w:val="25"/>
  </w:num>
  <w:num w:numId="24">
    <w:abstractNumId w:val="44"/>
  </w:num>
  <w:num w:numId="25">
    <w:abstractNumId w:val="122"/>
  </w:num>
  <w:num w:numId="26">
    <w:abstractNumId w:val="114"/>
  </w:num>
  <w:num w:numId="27">
    <w:abstractNumId w:val="74"/>
  </w:num>
  <w:num w:numId="28">
    <w:abstractNumId w:val="72"/>
  </w:num>
  <w:num w:numId="29">
    <w:abstractNumId w:val="50"/>
  </w:num>
  <w:num w:numId="30">
    <w:abstractNumId w:val="98"/>
  </w:num>
  <w:num w:numId="31">
    <w:abstractNumId w:val="60"/>
  </w:num>
  <w:num w:numId="32">
    <w:abstractNumId w:val="46"/>
  </w:num>
  <w:num w:numId="33">
    <w:abstractNumId w:val="79"/>
  </w:num>
  <w:num w:numId="34">
    <w:abstractNumId w:val="84"/>
  </w:num>
  <w:num w:numId="35">
    <w:abstractNumId w:val="113"/>
  </w:num>
  <w:num w:numId="36">
    <w:abstractNumId w:val="83"/>
  </w:num>
  <w:num w:numId="37">
    <w:abstractNumId w:val="69"/>
  </w:num>
  <w:num w:numId="38">
    <w:abstractNumId w:val="117"/>
  </w:num>
  <w:num w:numId="39">
    <w:abstractNumId w:val="47"/>
  </w:num>
  <w:num w:numId="40">
    <w:abstractNumId w:val="10"/>
    <w:lvlOverride w:ilvl="0">
      <w:startOverride w:val="1"/>
    </w:lvlOverride>
  </w:num>
  <w:num w:numId="41">
    <w:abstractNumId w:val="39"/>
  </w:num>
  <w:num w:numId="42">
    <w:abstractNumId w:val="35"/>
  </w:num>
  <w:num w:numId="43">
    <w:abstractNumId w:val="87"/>
  </w:num>
  <w:num w:numId="44">
    <w:abstractNumId w:val="93"/>
  </w:num>
  <w:num w:numId="45">
    <w:abstractNumId w:val="20"/>
  </w:num>
  <w:num w:numId="46">
    <w:abstractNumId w:val="94"/>
  </w:num>
  <w:num w:numId="47">
    <w:abstractNumId w:val="51"/>
  </w:num>
  <w:num w:numId="48">
    <w:abstractNumId w:val="95"/>
  </w:num>
  <w:num w:numId="49">
    <w:abstractNumId w:val="23"/>
  </w:num>
  <w:num w:numId="50">
    <w:abstractNumId w:val="10"/>
  </w:num>
  <w:num w:numId="51">
    <w:abstractNumId w:val="71"/>
  </w:num>
  <w:num w:numId="52">
    <w:abstractNumId w:val="70"/>
  </w:num>
  <w:num w:numId="53">
    <w:abstractNumId w:val="109"/>
  </w:num>
  <w:num w:numId="54">
    <w:abstractNumId w:val="82"/>
  </w:num>
  <w:num w:numId="55">
    <w:abstractNumId w:val="36"/>
  </w:num>
  <w:num w:numId="56">
    <w:abstractNumId w:val="92"/>
  </w:num>
  <w:num w:numId="57">
    <w:abstractNumId w:val="100"/>
  </w:num>
  <w:num w:numId="58">
    <w:abstractNumId w:val="76"/>
  </w:num>
  <w:num w:numId="59">
    <w:abstractNumId w:val="54"/>
  </w:num>
  <w:num w:numId="60">
    <w:abstractNumId w:val="66"/>
  </w:num>
  <w:num w:numId="61">
    <w:abstractNumId w:val="118"/>
  </w:num>
  <w:num w:numId="62">
    <w:abstractNumId w:val="22"/>
  </w:num>
  <w:num w:numId="63">
    <w:abstractNumId w:val="115"/>
  </w:num>
  <w:num w:numId="64">
    <w:abstractNumId w:val="56"/>
  </w:num>
  <w:num w:numId="65">
    <w:abstractNumId w:val="73"/>
  </w:num>
  <w:num w:numId="66">
    <w:abstractNumId w:val="42"/>
  </w:num>
  <w:num w:numId="67">
    <w:abstractNumId w:val="108"/>
  </w:num>
  <w:num w:numId="68">
    <w:abstractNumId w:val="91"/>
  </w:num>
  <w:num w:numId="69">
    <w:abstractNumId w:val="68"/>
  </w:num>
  <w:num w:numId="70">
    <w:abstractNumId w:val="85"/>
  </w:num>
  <w:num w:numId="71">
    <w:abstractNumId w:val="106"/>
  </w:num>
  <w:num w:numId="72">
    <w:abstractNumId w:val="30"/>
  </w:num>
  <w:num w:numId="73">
    <w:abstractNumId w:val="28"/>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37"/>
  </w:num>
  <w:num w:numId="77">
    <w:abstractNumId w:val="49"/>
  </w:num>
  <w:num w:numId="78">
    <w:abstractNumId w:val="67"/>
  </w:num>
  <w:num w:numId="79">
    <w:abstractNumId w:val="111"/>
  </w:num>
  <w:num w:numId="80">
    <w:abstractNumId w:val="17"/>
  </w:num>
  <w:num w:numId="81">
    <w:abstractNumId w:val="102"/>
  </w:num>
  <w:num w:numId="82">
    <w:abstractNumId w:val="97"/>
  </w:num>
  <w:num w:numId="83">
    <w:abstractNumId w:val="21"/>
  </w:num>
  <w:num w:numId="84">
    <w:abstractNumId w:val="78"/>
  </w:num>
  <w:num w:numId="85">
    <w:abstractNumId w:val="104"/>
  </w:num>
  <w:num w:numId="86">
    <w:abstractNumId w:val="48"/>
  </w:num>
  <w:num w:numId="87">
    <w:abstractNumId w:val="121"/>
  </w:num>
  <w:num w:numId="88">
    <w:abstractNumId w:val="62"/>
  </w:num>
  <w:num w:numId="89">
    <w:abstractNumId w:val="55"/>
  </w:num>
  <w:num w:numId="90">
    <w:abstractNumId w:val="14"/>
  </w:num>
  <w:num w:numId="91">
    <w:abstractNumId w:val="80"/>
  </w:num>
  <w:num w:numId="92">
    <w:abstractNumId w:val="18"/>
  </w:num>
  <w:num w:numId="93">
    <w:abstractNumId w:val="24"/>
  </w:num>
  <w:num w:numId="94">
    <w:abstractNumId w:val="99"/>
  </w:num>
  <w:num w:numId="95">
    <w:abstractNumId w:val="86"/>
  </w:num>
  <w:num w:numId="96">
    <w:abstractNumId w:val="81"/>
  </w:num>
  <w:num w:numId="97">
    <w:abstractNumId w:val="89"/>
  </w:num>
  <w:num w:numId="98">
    <w:abstractNumId w:val="27"/>
  </w:num>
  <w:num w:numId="99">
    <w:abstractNumId w:val="123"/>
  </w:num>
  <w:num w:numId="100">
    <w:abstractNumId w:val="107"/>
  </w:num>
  <w:num w:numId="101">
    <w:abstractNumId w:val="119"/>
  </w:num>
  <w:num w:numId="102">
    <w:abstractNumId w:val="40"/>
  </w:num>
  <w:num w:numId="103">
    <w:abstractNumId w:val="53"/>
  </w:num>
  <w:num w:numId="104">
    <w:abstractNumId w:val="88"/>
  </w:num>
  <w:num w:numId="105">
    <w:abstractNumId w:val="101"/>
  </w:num>
  <w:num w:numId="106">
    <w:abstractNumId w:val="124"/>
  </w:num>
  <w:num w:numId="107">
    <w:abstractNumId w:val="38"/>
  </w:num>
  <w:num w:numId="108">
    <w:abstractNumId w:val="29"/>
  </w:num>
  <w:num w:numId="109">
    <w:abstractNumId w:val="26"/>
  </w:num>
  <w:num w:numId="110">
    <w:abstractNumId w:val="103"/>
  </w:num>
  <w:num w:numId="111">
    <w:abstractNumId w:val="61"/>
  </w:num>
  <w:num w:numId="112">
    <w:abstractNumId w:val="15"/>
  </w:num>
  <w:num w:numId="113">
    <w:abstractNumId w:val="16"/>
  </w:num>
  <w:num w:numId="114">
    <w:abstractNumId w:val="65"/>
  </w:num>
  <w:num w:numId="115">
    <w:abstractNumId w:val="52"/>
  </w:num>
  <w:num w:numId="116">
    <w:abstractNumId w:val="45"/>
  </w:num>
  <w:num w:numId="117">
    <w:abstractNumId w:val="105"/>
  </w:num>
  <w:num w:numId="118">
    <w:abstractNumId w:val="41"/>
  </w:num>
  <w:num w:numId="119">
    <w:abstractNumId w:val="7"/>
  </w:num>
  <w:num w:numId="120">
    <w:abstractNumId w:val="120"/>
  </w:num>
  <w:num w:numId="121">
    <w:abstractNumId w:val="90"/>
  </w:num>
  <w:num w:numId="122">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211"/>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6E54"/>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53"/>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43C"/>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1127"/>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590"/>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04E04-04CF-42D2-A9A2-53657A3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4"/>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2"/>
      </w:numPr>
    </w:pPr>
  </w:style>
  <w:style w:type="numbering" w:customStyle="1" w:styleId="51">
    <w:name w:val="Стиль5"/>
    <w:rsid w:val="00BA2212"/>
    <w:pPr>
      <w:numPr>
        <w:numId w:val="103"/>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3"/>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5"/>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90"/>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2"/>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3"/>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4"/>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2"/>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3"/>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1"/>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4"/>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5"/>
      </w:numPr>
      <w:spacing w:before="40" w:after="40"/>
      <w:jc w:val="both"/>
    </w:pPr>
    <w:rPr>
      <w:w w:val="101"/>
      <w:lang w:eastAsia="ar-SA"/>
    </w:rPr>
  </w:style>
  <w:style w:type="paragraph" w:customStyle="1" w:styleId="25">
    <w:name w:val="Список_2"/>
    <w:basedOn w:val="af7"/>
    <w:uiPriority w:val="99"/>
    <w:rsid w:val="009A43AC"/>
    <w:pPr>
      <w:numPr>
        <w:numId w:val="81"/>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8"/>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9"/>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4"/>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6"/>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5"/>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7"/>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9"/>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8"/>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100"/>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1"/>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5"/>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7"/>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7"/>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9"/>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6"/>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2"/>
      </w:numPr>
    </w:pPr>
  </w:style>
  <w:style w:type="numbering" w:customStyle="1" w:styleId="a0">
    <w:name w:val="Стиль Заголовок"/>
    <w:rsid w:val="009A43AC"/>
    <w:pPr>
      <w:numPr>
        <w:numId w:val="93"/>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8"/>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1"/>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7"/>
      </w:numPr>
    </w:pPr>
  </w:style>
  <w:style w:type="numbering" w:customStyle="1" w:styleId="ListBulleted1">
    <w:name w:val="Стиль List Bulleted1"/>
    <w:rsid w:val="009A43AC"/>
    <w:pPr>
      <w:numPr>
        <w:numId w:val="79"/>
      </w:numPr>
    </w:pPr>
  </w:style>
  <w:style w:type="numbering" w:customStyle="1" w:styleId="1">
    <w:name w:val="Стиль Заголовок1"/>
    <w:rsid w:val="009A43AC"/>
    <w:pPr>
      <w:numPr>
        <w:numId w:val="80"/>
      </w:numPr>
    </w:pPr>
  </w:style>
  <w:style w:type="numbering" w:customStyle="1" w:styleId="12">
    <w:name w:val="Стиль Подрисуночная подпись1"/>
    <w:rsid w:val="009A43AC"/>
    <w:pPr>
      <w:numPr>
        <w:numId w:val="76"/>
      </w:numPr>
    </w:pPr>
  </w:style>
  <w:style w:type="numbering" w:customStyle="1" w:styleId="17">
    <w:name w:val="Список основной1"/>
    <w:rsid w:val="009A43AC"/>
    <w:pPr>
      <w:numPr>
        <w:numId w:val="95"/>
      </w:numPr>
    </w:pPr>
  </w:style>
  <w:style w:type="numbering" w:customStyle="1" w:styleId="ListNumbered1">
    <w:name w:val="Стиль List Numbered1"/>
    <w:rsid w:val="009A43AC"/>
    <w:pPr>
      <w:numPr>
        <w:numId w:val="75"/>
      </w:numPr>
    </w:pPr>
  </w:style>
  <w:style w:type="numbering" w:customStyle="1" w:styleId="15">
    <w:name w:val="Стиль Заголовки1"/>
    <w:rsid w:val="009A43AC"/>
    <w:pPr>
      <w:numPr>
        <w:numId w:val="78"/>
      </w:numPr>
    </w:pPr>
  </w:style>
  <w:style w:type="numbering" w:customStyle="1" w:styleId="310">
    <w:name w:val="Стиль31"/>
    <w:rsid w:val="009A43AC"/>
    <w:pPr>
      <w:numPr>
        <w:numId w:val="87"/>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1B0C-3B09-46CC-9D28-2BFFAED0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Долбнев Павел Сергеевич</cp:lastModifiedBy>
  <cp:revision>7</cp:revision>
  <cp:lastPrinted>2019-06-13T13:51:00Z</cp:lastPrinted>
  <dcterms:created xsi:type="dcterms:W3CDTF">2020-12-24T08:50:00Z</dcterms:created>
  <dcterms:modified xsi:type="dcterms:W3CDTF">2020-12-24T11:35:00Z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