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4F2140" w:rsidRDefault="00E35808" w:rsidP="009226AD">
      <w:pPr>
        <w:jc w:val="both"/>
        <w:rPr>
          <w:b/>
          <w:sz w:val="26"/>
          <w:szCs w:val="26"/>
        </w:rPr>
      </w:pPr>
    </w:p>
    <w:p w:rsidR="009226AD" w:rsidRPr="00325915" w:rsidRDefault="009226AD" w:rsidP="009226AD">
      <w:pPr>
        <w:spacing w:after="160" w:line="259" w:lineRule="auto"/>
        <w:jc w:val="both"/>
        <w:rPr>
          <w:rFonts w:eastAsia="Andale Sans UI"/>
          <w:kern w:val="1"/>
          <w:sz w:val="26"/>
          <w:szCs w:val="26"/>
          <w:lang w:eastAsia="ar-SA"/>
        </w:rPr>
      </w:pPr>
      <w:r w:rsidRPr="00325915">
        <w:rPr>
          <w:b/>
          <w:bCs/>
          <w:kern w:val="1"/>
          <w:sz w:val="26"/>
          <w:szCs w:val="26"/>
        </w:rPr>
        <w:t xml:space="preserve">Место </w:t>
      </w:r>
      <w:r w:rsidR="00325915" w:rsidRPr="00325915">
        <w:rPr>
          <w:b/>
          <w:bCs/>
          <w:kern w:val="1"/>
          <w:sz w:val="26"/>
          <w:szCs w:val="26"/>
        </w:rPr>
        <w:t>поставки товара</w:t>
      </w:r>
      <w:r w:rsidRPr="00325915">
        <w:rPr>
          <w:b/>
          <w:bCs/>
          <w:kern w:val="1"/>
          <w:sz w:val="26"/>
          <w:szCs w:val="26"/>
        </w:rPr>
        <w:t xml:space="preserve">: </w:t>
      </w:r>
      <w:r w:rsidR="00325915" w:rsidRPr="00325915">
        <w:rPr>
          <w:rFonts w:eastAsia="Andale Sans UI"/>
          <w:kern w:val="1"/>
          <w:sz w:val="26"/>
          <w:szCs w:val="26"/>
          <w:lang w:eastAsia="ar-SA"/>
        </w:rPr>
        <w:t xml:space="preserve">Поставка осуществляется на территории Ханты-Мансийского автономного округа – Югры, по направлениям на получение либо изготовление технических   средств </w:t>
      </w:r>
      <w:bookmarkStart w:id="0" w:name="_GoBack"/>
      <w:bookmarkEnd w:id="0"/>
      <w:r w:rsidR="00325915" w:rsidRPr="00325915">
        <w:rPr>
          <w:rFonts w:eastAsia="Andale Sans UI"/>
          <w:kern w:val="1"/>
          <w:sz w:val="26"/>
          <w:szCs w:val="26"/>
          <w:lang w:eastAsia="ar-SA"/>
        </w:rPr>
        <w:t>реабилитации.</w:t>
      </w:r>
    </w:p>
    <w:p w:rsidR="00C76E73" w:rsidRPr="00325915" w:rsidRDefault="009226AD" w:rsidP="00325915">
      <w:pPr>
        <w:autoSpaceDE w:val="0"/>
        <w:autoSpaceDN w:val="0"/>
        <w:adjustRightInd w:val="0"/>
        <w:jc w:val="both"/>
        <w:rPr>
          <w:sz w:val="26"/>
          <w:szCs w:val="26"/>
        </w:rPr>
      </w:pPr>
      <w:r w:rsidRPr="00325915">
        <w:rPr>
          <w:b/>
          <w:bCs/>
          <w:kern w:val="1"/>
          <w:sz w:val="26"/>
          <w:szCs w:val="26"/>
        </w:rPr>
        <w:t xml:space="preserve">Сроки </w:t>
      </w:r>
      <w:r w:rsidR="00325915" w:rsidRPr="00325915">
        <w:rPr>
          <w:b/>
          <w:bCs/>
          <w:kern w:val="1"/>
          <w:sz w:val="26"/>
          <w:szCs w:val="26"/>
        </w:rPr>
        <w:t>поставки товара</w:t>
      </w:r>
      <w:r w:rsidRPr="00325915">
        <w:rPr>
          <w:b/>
          <w:bCs/>
          <w:kern w:val="1"/>
          <w:sz w:val="26"/>
          <w:szCs w:val="26"/>
        </w:rPr>
        <w:t xml:space="preserve">: </w:t>
      </w:r>
      <w:r w:rsidR="00325915" w:rsidRPr="00325915">
        <w:rPr>
          <w:rFonts w:eastAsia="Lucida Sans Unicode"/>
          <w:bCs/>
          <w:kern w:val="3"/>
          <w:sz w:val="26"/>
          <w:szCs w:val="26"/>
        </w:rPr>
        <w:t xml:space="preserve">С даты получения от заказчика реестра получателей товара по "30" </w:t>
      </w:r>
      <w:r w:rsidR="00EF4FB2">
        <w:rPr>
          <w:rFonts w:eastAsia="Lucida Sans Unicode"/>
          <w:bCs/>
          <w:kern w:val="3"/>
          <w:sz w:val="26"/>
          <w:szCs w:val="26"/>
        </w:rPr>
        <w:t>ноября</w:t>
      </w:r>
      <w:r w:rsidR="00325915" w:rsidRPr="00325915">
        <w:rPr>
          <w:rFonts w:eastAsia="Lucida Sans Unicode"/>
          <w:bCs/>
          <w:kern w:val="3"/>
          <w:sz w:val="26"/>
          <w:szCs w:val="26"/>
        </w:rPr>
        <w:t xml:space="preserve"> 2021 года.</w:t>
      </w:r>
    </w:p>
    <w:p w:rsidR="00C76E73" w:rsidRDefault="00C76E73" w:rsidP="00C76E73">
      <w:pPr>
        <w:autoSpaceDE w:val="0"/>
        <w:autoSpaceDN w:val="0"/>
        <w:adjustRightInd w:val="0"/>
        <w:ind w:firstLine="540"/>
        <w:jc w:val="both"/>
        <w:rPr>
          <w:sz w:val="26"/>
          <w:szCs w:val="26"/>
        </w:rPr>
      </w:pPr>
    </w:p>
    <w:p w:rsidR="001220CC" w:rsidRPr="00997CCA" w:rsidRDefault="001220CC" w:rsidP="001220CC">
      <w:pPr>
        <w:tabs>
          <w:tab w:val="left" w:pos="708"/>
        </w:tabs>
        <w:autoSpaceDE w:val="0"/>
        <w:ind w:firstLine="709"/>
        <w:contextualSpacing/>
        <w:jc w:val="both"/>
        <w:rPr>
          <w:b/>
          <w:bCs/>
        </w:rPr>
      </w:pPr>
      <w:r w:rsidRPr="00997CCA">
        <w:rPr>
          <w:b/>
          <w:bCs/>
        </w:rPr>
        <w:t>Изделия должно соответствовать требованиям государственных стандартов, в том числе:</w:t>
      </w:r>
    </w:p>
    <w:p w:rsidR="001220CC" w:rsidRPr="00997CCA" w:rsidRDefault="001220CC" w:rsidP="001220CC">
      <w:pPr>
        <w:tabs>
          <w:tab w:val="left" w:pos="708"/>
        </w:tabs>
        <w:autoSpaceDE w:val="0"/>
        <w:ind w:firstLine="709"/>
        <w:contextualSpacing/>
        <w:jc w:val="both"/>
        <w:rPr>
          <w:bCs/>
        </w:rPr>
      </w:pPr>
      <w:r>
        <w:rPr>
          <w:bCs/>
        </w:rPr>
        <w:t>-</w:t>
      </w:r>
      <w:r w:rsidRPr="004F182B">
        <w:rPr>
          <w:bCs/>
        </w:rPr>
        <w:t>Абсорбирующие пеленки соответствуют ГОСТ Р 57762-2017</w:t>
      </w:r>
      <w:r w:rsidRPr="00997CCA">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80"/>
        <w:gridCol w:w="1890"/>
        <w:gridCol w:w="2165"/>
        <w:gridCol w:w="2031"/>
        <w:gridCol w:w="652"/>
        <w:gridCol w:w="1054"/>
      </w:tblGrid>
      <w:tr w:rsidR="001220CC" w:rsidRPr="001220CC" w:rsidTr="001220CC">
        <w:trPr>
          <w:cantSplit/>
          <w:trHeight w:val="197"/>
        </w:trPr>
        <w:tc>
          <w:tcPr>
            <w:tcW w:w="256" w:type="pct"/>
            <w:vMerge w:val="restart"/>
            <w:vAlign w:val="center"/>
          </w:tcPr>
          <w:p w:rsidR="001220CC" w:rsidRPr="001220CC" w:rsidRDefault="001220CC" w:rsidP="001220CC">
            <w:pPr>
              <w:jc w:val="center"/>
              <w:rPr>
                <w:sz w:val="22"/>
                <w:szCs w:val="22"/>
              </w:rPr>
            </w:pPr>
            <w:r w:rsidRPr="001220CC">
              <w:rPr>
                <w:sz w:val="22"/>
                <w:szCs w:val="22"/>
              </w:rPr>
              <w:t>№</w:t>
            </w:r>
          </w:p>
          <w:p w:rsidR="001220CC" w:rsidRPr="001220CC" w:rsidRDefault="001220CC" w:rsidP="001220CC">
            <w:pPr>
              <w:jc w:val="center"/>
              <w:rPr>
                <w:sz w:val="22"/>
                <w:szCs w:val="22"/>
              </w:rPr>
            </w:pPr>
            <w:r w:rsidRPr="001220CC">
              <w:rPr>
                <w:sz w:val="22"/>
                <w:szCs w:val="22"/>
              </w:rPr>
              <w:t>п/п</w:t>
            </w:r>
          </w:p>
        </w:tc>
        <w:tc>
          <w:tcPr>
            <w:tcW w:w="922" w:type="pct"/>
            <w:vMerge w:val="restart"/>
            <w:vAlign w:val="center"/>
          </w:tcPr>
          <w:p w:rsidR="001220CC" w:rsidRPr="00F2288E" w:rsidRDefault="001220CC" w:rsidP="001220CC">
            <w:pPr>
              <w:jc w:val="center"/>
              <w:rPr>
                <w:sz w:val="20"/>
                <w:szCs w:val="20"/>
              </w:rPr>
            </w:pPr>
            <w:r w:rsidRPr="00F2288E">
              <w:rPr>
                <w:sz w:val="20"/>
                <w:szCs w:val="20"/>
              </w:rPr>
              <w:t xml:space="preserve">Наименование </w:t>
            </w:r>
          </w:p>
        </w:tc>
        <w:tc>
          <w:tcPr>
            <w:tcW w:w="2985" w:type="pct"/>
            <w:gridSpan w:val="3"/>
            <w:vAlign w:val="center"/>
          </w:tcPr>
          <w:p w:rsidR="001220CC" w:rsidRPr="00F2288E" w:rsidRDefault="001220CC" w:rsidP="001220CC">
            <w:pPr>
              <w:jc w:val="center"/>
              <w:rPr>
                <w:sz w:val="20"/>
                <w:szCs w:val="20"/>
              </w:rPr>
            </w:pPr>
            <w:r w:rsidRPr="00CD36FF">
              <w:rPr>
                <w:sz w:val="20"/>
                <w:szCs w:val="20"/>
              </w:rPr>
              <w:t>Описание (характеристики) объекта закупки</w:t>
            </w:r>
            <w:r w:rsidRPr="00CD36FF">
              <w:rPr>
                <w:sz w:val="20"/>
                <w:szCs w:val="20"/>
                <w:vertAlign w:val="superscript"/>
              </w:rPr>
              <w:footnoteReference w:id="1"/>
            </w:r>
          </w:p>
        </w:tc>
        <w:tc>
          <w:tcPr>
            <w:tcW w:w="320" w:type="pct"/>
            <w:vMerge w:val="restart"/>
            <w:vAlign w:val="center"/>
          </w:tcPr>
          <w:p w:rsidR="001220CC" w:rsidRPr="00F2288E" w:rsidRDefault="001220CC" w:rsidP="001220CC">
            <w:pPr>
              <w:widowControl w:val="0"/>
              <w:autoSpaceDE w:val="0"/>
              <w:autoSpaceDN w:val="0"/>
              <w:adjustRightInd w:val="0"/>
              <w:jc w:val="center"/>
              <w:rPr>
                <w:sz w:val="20"/>
                <w:szCs w:val="20"/>
              </w:rPr>
            </w:pPr>
            <w:r w:rsidRPr="00F2288E">
              <w:rPr>
                <w:sz w:val="20"/>
                <w:szCs w:val="20"/>
              </w:rPr>
              <w:t>Ед. изм.</w:t>
            </w:r>
          </w:p>
        </w:tc>
        <w:tc>
          <w:tcPr>
            <w:tcW w:w="517" w:type="pct"/>
            <w:vMerge w:val="restart"/>
            <w:vAlign w:val="center"/>
          </w:tcPr>
          <w:p w:rsidR="001220CC" w:rsidRPr="00F2288E" w:rsidRDefault="001220CC" w:rsidP="001220CC">
            <w:pPr>
              <w:jc w:val="center"/>
              <w:rPr>
                <w:sz w:val="20"/>
                <w:szCs w:val="20"/>
              </w:rPr>
            </w:pPr>
            <w:r w:rsidRPr="00F2288E">
              <w:rPr>
                <w:sz w:val="20"/>
                <w:szCs w:val="20"/>
              </w:rPr>
              <w:t>Кол-во</w:t>
            </w:r>
          </w:p>
        </w:tc>
      </w:tr>
      <w:tr w:rsidR="001220CC" w:rsidRPr="001220CC" w:rsidTr="001220CC">
        <w:trPr>
          <w:cantSplit/>
          <w:trHeight w:val="1499"/>
        </w:trPr>
        <w:tc>
          <w:tcPr>
            <w:tcW w:w="256" w:type="pct"/>
            <w:vMerge/>
            <w:vAlign w:val="center"/>
          </w:tcPr>
          <w:p w:rsidR="001220CC" w:rsidRPr="001220CC" w:rsidRDefault="001220CC" w:rsidP="001220CC">
            <w:pPr>
              <w:jc w:val="center"/>
              <w:rPr>
                <w:sz w:val="22"/>
                <w:szCs w:val="22"/>
              </w:rPr>
            </w:pPr>
          </w:p>
        </w:tc>
        <w:tc>
          <w:tcPr>
            <w:tcW w:w="922" w:type="pct"/>
            <w:vMerge/>
            <w:vAlign w:val="center"/>
          </w:tcPr>
          <w:p w:rsidR="001220CC" w:rsidRPr="001220CC" w:rsidRDefault="001220CC" w:rsidP="001220CC">
            <w:pPr>
              <w:jc w:val="center"/>
              <w:rPr>
                <w:sz w:val="22"/>
                <w:szCs w:val="22"/>
              </w:rPr>
            </w:pPr>
          </w:p>
        </w:tc>
        <w:tc>
          <w:tcPr>
            <w:tcW w:w="927" w:type="pct"/>
            <w:vAlign w:val="center"/>
          </w:tcPr>
          <w:p w:rsidR="001220CC" w:rsidRPr="00CD36FF" w:rsidRDefault="001220CC" w:rsidP="001220CC">
            <w:pPr>
              <w:jc w:val="center"/>
              <w:rPr>
                <w:sz w:val="20"/>
                <w:szCs w:val="20"/>
              </w:rPr>
            </w:pPr>
            <w:r w:rsidRPr="00CD36FF">
              <w:rPr>
                <w:sz w:val="20"/>
                <w:szCs w:val="20"/>
              </w:rPr>
              <w:t>Наименование показателя</w:t>
            </w:r>
            <w:r w:rsidRPr="00CD36FF">
              <w:rPr>
                <w:sz w:val="20"/>
                <w:szCs w:val="20"/>
                <w:vertAlign w:val="superscript"/>
              </w:rPr>
              <w:t xml:space="preserve"> </w:t>
            </w:r>
            <w:r w:rsidRPr="00CD36FF">
              <w:rPr>
                <w:sz w:val="20"/>
                <w:szCs w:val="20"/>
                <w:vertAlign w:val="superscript"/>
              </w:rPr>
              <w:footnoteReference w:id="2"/>
            </w:r>
          </w:p>
          <w:p w:rsidR="001220CC" w:rsidRPr="00CD36FF" w:rsidRDefault="001220CC" w:rsidP="001220CC">
            <w:pPr>
              <w:spacing w:after="60"/>
              <w:jc w:val="center"/>
              <w:rPr>
                <w:color w:val="FF0000"/>
                <w:sz w:val="20"/>
                <w:szCs w:val="20"/>
              </w:rPr>
            </w:pPr>
            <w:r w:rsidRPr="00CD36FF">
              <w:rPr>
                <w:color w:val="FF0000"/>
                <w:sz w:val="20"/>
                <w:szCs w:val="20"/>
              </w:rPr>
              <w:t>(неизменяемое)</w:t>
            </w:r>
          </w:p>
        </w:tc>
        <w:tc>
          <w:tcPr>
            <w:tcW w:w="1062" w:type="pct"/>
            <w:vAlign w:val="center"/>
          </w:tcPr>
          <w:p w:rsidR="001220CC" w:rsidRPr="00CD36FF" w:rsidRDefault="001220CC" w:rsidP="001220CC">
            <w:pPr>
              <w:autoSpaceDE w:val="0"/>
              <w:autoSpaceDN w:val="0"/>
              <w:adjustRightInd w:val="0"/>
              <w:jc w:val="center"/>
              <w:rPr>
                <w:sz w:val="20"/>
                <w:szCs w:val="20"/>
              </w:rPr>
            </w:pPr>
            <w:r w:rsidRPr="00CD36FF">
              <w:rPr>
                <w:sz w:val="20"/>
                <w:szCs w:val="20"/>
              </w:rPr>
              <w:t>Значения показателей, которые не могут изменяться</w:t>
            </w:r>
            <w:r w:rsidRPr="00CD36FF">
              <w:rPr>
                <w:sz w:val="20"/>
                <w:szCs w:val="20"/>
                <w:vertAlign w:val="superscript"/>
              </w:rPr>
              <w:footnoteReference w:id="3"/>
            </w:r>
          </w:p>
          <w:p w:rsidR="001220CC" w:rsidRPr="00CD36FF" w:rsidRDefault="001220CC" w:rsidP="001220CC">
            <w:pPr>
              <w:autoSpaceDE w:val="0"/>
              <w:autoSpaceDN w:val="0"/>
              <w:adjustRightInd w:val="0"/>
              <w:spacing w:after="60"/>
              <w:jc w:val="center"/>
              <w:rPr>
                <w:color w:val="FF0000"/>
                <w:sz w:val="20"/>
                <w:szCs w:val="20"/>
              </w:rPr>
            </w:pPr>
            <w:r w:rsidRPr="00CD36FF">
              <w:rPr>
                <w:color w:val="FF0000"/>
                <w:sz w:val="20"/>
                <w:szCs w:val="20"/>
              </w:rPr>
              <w:t>(неизменяемое)</w:t>
            </w:r>
          </w:p>
        </w:tc>
        <w:tc>
          <w:tcPr>
            <w:tcW w:w="996" w:type="pct"/>
            <w:vAlign w:val="center"/>
          </w:tcPr>
          <w:p w:rsidR="001220CC" w:rsidRPr="00CD36FF" w:rsidRDefault="001220CC" w:rsidP="001220CC">
            <w:pPr>
              <w:autoSpaceDE w:val="0"/>
              <w:autoSpaceDN w:val="0"/>
              <w:adjustRightInd w:val="0"/>
              <w:spacing w:after="60"/>
              <w:jc w:val="center"/>
              <w:rPr>
                <w:sz w:val="20"/>
                <w:szCs w:val="20"/>
              </w:rPr>
            </w:pPr>
            <w:r w:rsidRPr="00CD36FF">
              <w:rPr>
                <w:sz w:val="20"/>
                <w:szCs w:val="20"/>
              </w:rPr>
              <w:t>Изменяемое значение показателей (точное значение устанавливает участник закупки)</w:t>
            </w:r>
          </w:p>
        </w:tc>
        <w:tc>
          <w:tcPr>
            <w:tcW w:w="320" w:type="pct"/>
            <w:vMerge/>
          </w:tcPr>
          <w:p w:rsidR="001220CC" w:rsidRPr="001220CC" w:rsidRDefault="001220CC" w:rsidP="001220CC">
            <w:pPr>
              <w:jc w:val="center"/>
              <w:rPr>
                <w:sz w:val="22"/>
                <w:szCs w:val="22"/>
              </w:rPr>
            </w:pPr>
          </w:p>
        </w:tc>
        <w:tc>
          <w:tcPr>
            <w:tcW w:w="517" w:type="pct"/>
            <w:vMerge/>
          </w:tcPr>
          <w:p w:rsidR="001220CC" w:rsidRPr="001220CC" w:rsidRDefault="001220CC" w:rsidP="001220CC">
            <w:pPr>
              <w:jc w:val="center"/>
              <w:rPr>
                <w:sz w:val="22"/>
                <w:szCs w:val="22"/>
              </w:rPr>
            </w:pPr>
          </w:p>
        </w:tc>
      </w:tr>
      <w:tr w:rsidR="001220CC" w:rsidRPr="001220CC" w:rsidTr="001220CC">
        <w:trPr>
          <w:cantSplit/>
          <w:trHeight w:val="211"/>
        </w:trPr>
        <w:tc>
          <w:tcPr>
            <w:tcW w:w="256" w:type="pct"/>
            <w:vMerge w:val="restart"/>
          </w:tcPr>
          <w:p w:rsidR="001220CC" w:rsidRPr="001220CC" w:rsidRDefault="001220CC" w:rsidP="00046F5B">
            <w:pPr>
              <w:jc w:val="center"/>
              <w:rPr>
                <w:sz w:val="22"/>
                <w:szCs w:val="22"/>
              </w:rPr>
            </w:pPr>
            <w:r w:rsidRPr="001220CC">
              <w:rPr>
                <w:sz w:val="22"/>
                <w:szCs w:val="22"/>
              </w:rPr>
              <w:t>1</w:t>
            </w:r>
          </w:p>
        </w:tc>
        <w:tc>
          <w:tcPr>
            <w:tcW w:w="922" w:type="pct"/>
            <w:vMerge w:val="restart"/>
          </w:tcPr>
          <w:p w:rsidR="001220CC" w:rsidRPr="001220CC" w:rsidRDefault="001220CC" w:rsidP="00046F5B">
            <w:pPr>
              <w:jc w:val="center"/>
              <w:rPr>
                <w:sz w:val="22"/>
                <w:szCs w:val="22"/>
              </w:rPr>
            </w:pPr>
            <w:r w:rsidRPr="001220CC">
              <w:rPr>
                <w:sz w:val="22"/>
                <w:szCs w:val="22"/>
              </w:rPr>
              <w:t>Впитывающие простыни (пеленки) размером не менее 40 x 60 см (</w:t>
            </w:r>
            <w:proofErr w:type="spellStart"/>
            <w:r w:rsidRPr="001220CC">
              <w:rPr>
                <w:sz w:val="22"/>
                <w:szCs w:val="22"/>
              </w:rPr>
              <w:t>впитываемостью</w:t>
            </w:r>
            <w:proofErr w:type="spellEnd"/>
            <w:r w:rsidRPr="001220CC">
              <w:rPr>
                <w:sz w:val="22"/>
                <w:szCs w:val="22"/>
              </w:rPr>
              <w:t xml:space="preserve"> от 400 до 500 мл)</w:t>
            </w:r>
          </w:p>
        </w:tc>
        <w:tc>
          <w:tcPr>
            <w:tcW w:w="927" w:type="pct"/>
          </w:tcPr>
          <w:p w:rsidR="001220CC" w:rsidRPr="001220CC" w:rsidRDefault="001220CC" w:rsidP="00046F5B">
            <w:pPr>
              <w:tabs>
                <w:tab w:val="left" w:pos="708"/>
              </w:tabs>
              <w:suppressAutoHyphens/>
              <w:rPr>
                <w:sz w:val="22"/>
                <w:szCs w:val="22"/>
              </w:rPr>
            </w:pPr>
            <w:r w:rsidRPr="001220CC">
              <w:rPr>
                <w:sz w:val="22"/>
                <w:szCs w:val="22"/>
              </w:rPr>
              <w:t xml:space="preserve">Размер, см </w:t>
            </w:r>
          </w:p>
        </w:tc>
        <w:tc>
          <w:tcPr>
            <w:tcW w:w="1062" w:type="pct"/>
          </w:tcPr>
          <w:p w:rsidR="001220CC" w:rsidRPr="001220CC" w:rsidRDefault="001220CC" w:rsidP="00046F5B">
            <w:pPr>
              <w:jc w:val="center"/>
              <w:rPr>
                <w:sz w:val="22"/>
                <w:szCs w:val="22"/>
              </w:rPr>
            </w:pPr>
            <w:r w:rsidRPr="001220CC">
              <w:rPr>
                <w:sz w:val="22"/>
                <w:szCs w:val="22"/>
              </w:rPr>
              <w:t>40*60</w:t>
            </w:r>
          </w:p>
        </w:tc>
        <w:tc>
          <w:tcPr>
            <w:tcW w:w="996" w:type="pct"/>
          </w:tcPr>
          <w:p w:rsidR="001220CC" w:rsidRPr="001220CC" w:rsidRDefault="001220CC" w:rsidP="00046F5B">
            <w:pPr>
              <w:jc w:val="center"/>
              <w:rPr>
                <w:sz w:val="22"/>
                <w:szCs w:val="22"/>
              </w:rPr>
            </w:pPr>
          </w:p>
        </w:tc>
        <w:tc>
          <w:tcPr>
            <w:tcW w:w="320" w:type="pct"/>
            <w:vMerge w:val="restart"/>
          </w:tcPr>
          <w:p w:rsidR="001220CC" w:rsidRPr="001220CC" w:rsidRDefault="001220CC" w:rsidP="00046F5B">
            <w:pPr>
              <w:jc w:val="center"/>
              <w:rPr>
                <w:sz w:val="22"/>
                <w:szCs w:val="22"/>
              </w:rPr>
            </w:pPr>
            <w:r w:rsidRPr="001220CC">
              <w:rPr>
                <w:sz w:val="22"/>
                <w:szCs w:val="22"/>
              </w:rPr>
              <w:t>шт.</w:t>
            </w:r>
          </w:p>
        </w:tc>
        <w:tc>
          <w:tcPr>
            <w:tcW w:w="517" w:type="pct"/>
            <w:vMerge w:val="restart"/>
          </w:tcPr>
          <w:p w:rsidR="001220CC" w:rsidRPr="001220CC" w:rsidRDefault="001220CC" w:rsidP="00046F5B">
            <w:pPr>
              <w:jc w:val="center"/>
              <w:rPr>
                <w:sz w:val="22"/>
                <w:szCs w:val="22"/>
              </w:rPr>
            </w:pPr>
            <w:r w:rsidRPr="001220CC">
              <w:rPr>
                <w:sz w:val="22"/>
                <w:szCs w:val="22"/>
              </w:rPr>
              <w:t>3870</w:t>
            </w: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одноразового пользования</w:t>
            </w:r>
          </w:p>
        </w:tc>
        <w:tc>
          <w:tcPr>
            <w:tcW w:w="1062" w:type="pct"/>
          </w:tcPr>
          <w:p w:rsidR="001220CC" w:rsidRPr="001220CC" w:rsidRDefault="001220CC" w:rsidP="00046F5B">
            <w:pPr>
              <w:jc w:val="center"/>
              <w:rPr>
                <w:sz w:val="22"/>
                <w:szCs w:val="22"/>
              </w:rPr>
            </w:pPr>
            <w:r w:rsidRPr="001220CC">
              <w:rPr>
                <w:sz w:val="22"/>
                <w:szCs w:val="22"/>
              </w:rPr>
              <w:t>соответствует</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proofErr w:type="spellStart"/>
            <w:r w:rsidRPr="001220CC">
              <w:rPr>
                <w:bCs/>
                <w:sz w:val="22"/>
                <w:szCs w:val="22"/>
              </w:rPr>
              <w:t>Впитываемость</w:t>
            </w:r>
            <w:proofErr w:type="spellEnd"/>
            <w:r w:rsidRPr="001220CC">
              <w:rPr>
                <w:bCs/>
                <w:sz w:val="22"/>
                <w:szCs w:val="22"/>
              </w:rPr>
              <w:t>, мл.</w:t>
            </w:r>
          </w:p>
        </w:tc>
        <w:tc>
          <w:tcPr>
            <w:tcW w:w="1062" w:type="pct"/>
          </w:tcPr>
          <w:p w:rsidR="001220CC" w:rsidRPr="001220CC" w:rsidRDefault="001220CC" w:rsidP="00046F5B">
            <w:pPr>
              <w:jc w:val="center"/>
              <w:rPr>
                <w:sz w:val="22"/>
                <w:szCs w:val="22"/>
              </w:rPr>
            </w:pPr>
          </w:p>
        </w:tc>
        <w:tc>
          <w:tcPr>
            <w:tcW w:w="996" w:type="pct"/>
          </w:tcPr>
          <w:p w:rsidR="001220CC" w:rsidRPr="001220CC" w:rsidRDefault="001220CC" w:rsidP="00046F5B">
            <w:pPr>
              <w:jc w:val="center"/>
              <w:rPr>
                <w:sz w:val="22"/>
                <w:szCs w:val="22"/>
              </w:rPr>
            </w:pPr>
            <w:r w:rsidRPr="001220CC">
              <w:rPr>
                <w:sz w:val="22"/>
                <w:szCs w:val="22"/>
              </w:rPr>
              <w:t>От 400 до 500</w:t>
            </w: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Срок годности Изделий с момента передачи Получателю должен составлять не менее 12 месяцев</w:t>
            </w:r>
          </w:p>
        </w:tc>
        <w:tc>
          <w:tcPr>
            <w:tcW w:w="1062" w:type="pct"/>
          </w:tcPr>
          <w:p w:rsidR="001220CC" w:rsidRPr="001220CC" w:rsidRDefault="001220CC" w:rsidP="00046F5B">
            <w:pPr>
              <w:jc w:val="center"/>
              <w:rPr>
                <w:bCs/>
                <w:sz w:val="22"/>
                <w:szCs w:val="22"/>
              </w:rPr>
            </w:pPr>
            <w:r w:rsidRPr="001220CC">
              <w:rPr>
                <w:bCs/>
                <w:sz w:val="22"/>
                <w:szCs w:val="22"/>
              </w:rPr>
              <w:t>соответствует</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 xml:space="preserve">Материал </w:t>
            </w:r>
          </w:p>
        </w:tc>
        <w:tc>
          <w:tcPr>
            <w:tcW w:w="1062" w:type="pct"/>
          </w:tcPr>
          <w:p w:rsidR="001220CC" w:rsidRPr="001220CC" w:rsidRDefault="001220CC" w:rsidP="00046F5B">
            <w:pPr>
              <w:jc w:val="center"/>
              <w:rPr>
                <w:sz w:val="22"/>
                <w:szCs w:val="22"/>
              </w:rPr>
            </w:pPr>
            <w:r w:rsidRPr="001220CC">
              <w:rPr>
                <w:bCs/>
                <w:sz w:val="22"/>
                <w:szCs w:val="22"/>
              </w:rPr>
              <w:t xml:space="preserve">распушенная целлюлоза </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Упаковочная коробка</w:t>
            </w:r>
          </w:p>
        </w:tc>
        <w:tc>
          <w:tcPr>
            <w:tcW w:w="1062" w:type="pct"/>
          </w:tcPr>
          <w:p w:rsidR="001220CC" w:rsidRPr="001220CC" w:rsidRDefault="001220CC" w:rsidP="00046F5B">
            <w:pPr>
              <w:jc w:val="center"/>
              <w:rPr>
                <w:sz w:val="22"/>
                <w:szCs w:val="22"/>
              </w:rPr>
            </w:pPr>
            <w:r w:rsidRPr="001220CC">
              <w:rPr>
                <w:sz w:val="22"/>
                <w:szCs w:val="22"/>
              </w:rPr>
              <w:t>наличие</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val="restart"/>
          </w:tcPr>
          <w:p w:rsidR="001220CC" w:rsidRPr="001220CC" w:rsidRDefault="001220CC" w:rsidP="00046F5B">
            <w:pPr>
              <w:jc w:val="center"/>
              <w:rPr>
                <w:sz w:val="22"/>
                <w:szCs w:val="22"/>
              </w:rPr>
            </w:pPr>
            <w:r w:rsidRPr="001220CC">
              <w:rPr>
                <w:sz w:val="22"/>
                <w:szCs w:val="22"/>
              </w:rPr>
              <w:t>2</w:t>
            </w:r>
          </w:p>
        </w:tc>
        <w:tc>
          <w:tcPr>
            <w:tcW w:w="922" w:type="pct"/>
            <w:vMerge w:val="restart"/>
          </w:tcPr>
          <w:p w:rsidR="001220CC" w:rsidRPr="001220CC" w:rsidRDefault="001220CC" w:rsidP="00046F5B">
            <w:pPr>
              <w:jc w:val="center"/>
              <w:rPr>
                <w:sz w:val="22"/>
                <w:szCs w:val="22"/>
              </w:rPr>
            </w:pPr>
            <w:r w:rsidRPr="001220CC">
              <w:rPr>
                <w:sz w:val="22"/>
                <w:szCs w:val="22"/>
              </w:rPr>
              <w:t>Впитывающие простыни (пеленки) размером не менее 60 x 60 см (</w:t>
            </w:r>
            <w:proofErr w:type="spellStart"/>
            <w:r w:rsidRPr="001220CC">
              <w:rPr>
                <w:sz w:val="22"/>
                <w:szCs w:val="22"/>
              </w:rPr>
              <w:t>впитываемостью</w:t>
            </w:r>
            <w:proofErr w:type="spellEnd"/>
            <w:r w:rsidRPr="001220CC">
              <w:rPr>
                <w:sz w:val="22"/>
                <w:szCs w:val="22"/>
              </w:rPr>
              <w:t xml:space="preserve"> от 800 до 1200 мл)</w:t>
            </w:r>
          </w:p>
        </w:tc>
        <w:tc>
          <w:tcPr>
            <w:tcW w:w="927" w:type="pct"/>
          </w:tcPr>
          <w:p w:rsidR="001220CC" w:rsidRPr="001220CC" w:rsidRDefault="001220CC" w:rsidP="00046F5B">
            <w:pPr>
              <w:tabs>
                <w:tab w:val="left" w:pos="708"/>
              </w:tabs>
              <w:suppressAutoHyphens/>
              <w:rPr>
                <w:sz w:val="22"/>
                <w:szCs w:val="22"/>
              </w:rPr>
            </w:pPr>
            <w:r w:rsidRPr="001220CC">
              <w:rPr>
                <w:sz w:val="22"/>
                <w:szCs w:val="22"/>
              </w:rPr>
              <w:t xml:space="preserve">Размер, см </w:t>
            </w:r>
          </w:p>
        </w:tc>
        <w:tc>
          <w:tcPr>
            <w:tcW w:w="1062" w:type="pct"/>
          </w:tcPr>
          <w:p w:rsidR="001220CC" w:rsidRPr="001220CC" w:rsidRDefault="001220CC" w:rsidP="00046F5B">
            <w:pPr>
              <w:jc w:val="center"/>
              <w:rPr>
                <w:sz w:val="22"/>
                <w:szCs w:val="22"/>
              </w:rPr>
            </w:pPr>
            <w:r w:rsidRPr="001220CC">
              <w:rPr>
                <w:sz w:val="22"/>
                <w:szCs w:val="22"/>
              </w:rPr>
              <w:t>60*60</w:t>
            </w:r>
          </w:p>
        </w:tc>
        <w:tc>
          <w:tcPr>
            <w:tcW w:w="996" w:type="pct"/>
          </w:tcPr>
          <w:p w:rsidR="001220CC" w:rsidRPr="001220CC" w:rsidRDefault="001220CC" w:rsidP="00046F5B">
            <w:pPr>
              <w:jc w:val="center"/>
              <w:rPr>
                <w:sz w:val="22"/>
                <w:szCs w:val="22"/>
              </w:rPr>
            </w:pPr>
          </w:p>
        </w:tc>
        <w:tc>
          <w:tcPr>
            <w:tcW w:w="320" w:type="pct"/>
            <w:vMerge w:val="restart"/>
          </w:tcPr>
          <w:p w:rsidR="001220CC" w:rsidRPr="001220CC" w:rsidRDefault="001220CC" w:rsidP="00046F5B">
            <w:pPr>
              <w:jc w:val="center"/>
              <w:rPr>
                <w:sz w:val="22"/>
                <w:szCs w:val="22"/>
              </w:rPr>
            </w:pPr>
            <w:r w:rsidRPr="001220CC">
              <w:rPr>
                <w:sz w:val="22"/>
                <w:szCs w:val="22"/>
              </w:rPr>
              <w:t>шт.</w:t>
            </w:r>
          </w:p>
        </w:tc>
        <w:tc>
          <w:tcPr>
            <w:tcW w:w="517" w:type="pct"/>
            <w:vMerge w:val="restart"/>
          </w:tcPr>
          <w:p w:rsidR="001220CC" w:rsidRPr="001220CC" w:rsidRDefault="001220CC" w:rsidP="00046F5B">
            <w:pPr>
              <w:jc w:val="center"/>
              <w:rPr>
                <w:sz w:val="22"/>
                <w:szCs w:val="22"/>
              </w:rPr>
            </w:pPr>
            <w:r w:rsidRPr="001220CC">
              <w:rPr>
                <w:sz w:val="22"/>
                <w:szCs w:val="22"/>
              </w:rPr>
              <w:t>21420</w:t>
            </w: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одноразового пользования</w:t>
            </w:r>
          </w:p>
        </w:tc>
        <w:tc>
          <w:tcPr>
            <w:tcW w:w="1062" w:type="pct"/>
          </w:tcPr>
          <w:p w:rsidR="001220CC" w:rsidRPr="001220CC" w:rsidRDefault="001220CC" w:rsidP="00046F5B">
            <w:pPr>
              <w:jc w:val="center"/>
              <w:rPr>
                <w:sz w:val="22"/>
                <w:szCs w:val="22"/>
              </w:rPr>
            </w:pPr>
            <w:r w:rsidRPr="001220CC">
              <w:rPr>
                <w:sz w:val="22"/>
                <w:szCs w:val="22"/>
              </w:rPr>
              <w:t>соответствует</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proofErr w:type="spellStart"/>
            <w:r w:rsidRPr="001220CC">
              <w:rPr>
                <w:bCs/>
                <w:sz w:val="22"/>
                <w:szCs w:val="22"/>
              </w:rPr>
              <w:t>Впитываемость</w:t>
            </w:r>
            <w:proofErr w:type="spellEnd"/>
            <w:r w:rsidRPr="001220CC">
              <w:rPr>
                <w:bCs/>
                <w:sz w:val="22"/>
                <w:szCs w:val="22"/>
              </w:rPr>
              <w:t>, мл</w:t>
            </w:r>
          </w:p>
        </w:tc>
        <w:tc>
          <w:tcPr>
            <w:tcW w:w="1062" w:type="pct"/>
          </w:tcPr>
          <w:p w:rsidR="001220CC" w:rsidRPr="001220CC" w:rsidRDefault="001220CC" w:rsidP="00046F5B">
            <w:pPr>
              <w:jc w:val="center"/>
              <w:rPr>
                <w:sz w:val="22"/>
                <w:szCs w:val="22"/>
              </w:rPr>
            </w:pPr>
          </w:p>
        </w:tc>
        <w:tc>
          <w:tcPr>
            <w:tcW w:w="996" w:type="pct"/>
          </w:tcPr>
          <w:p w:rsidR="001220CC" w:rsidRPr="001220CC" w:rsidRDefault="001220CC" w:rsidP="00046F5B">
            <w:pPr>
              <w:jc w:val="center"/>
              <w:rPr>
                <w:sz w:val="22"/>
                <w:szCs w:val="22"/>
              </w:rPr>
            </w:pPr>
            <w:r w:rsidRPr="001220CC">
              <w:rPr>
                <w:sz w:val="22"/>
                <w:szCs w:val="22"/>
              </w:rPr>
              <w:t>от 800 до 1200</w:t>
            </w: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Срок годности Изделий с момента передачи Получателю должен составлять не менее 12 месяцев</w:t>
            </w:r>
          </w:p>
        </w:tc>
        <w:tc>
          <w:tcPr>
            <w:tcW w:w="1062" w:type="pct"/>
          </w:tcPr>
          <w:p w:rsidR="001220CC" w:rsidRPr="001220CC" w:rsidRDefault="001220CC" w:rsidP="00046F5B">
            <w:pPr>
              <w:jc w:val="center"/>
              <w:rPr>
                <w:bCs/>
                <w:sz w:val="22"/>
                <w:szCs w:val="22"/>
              </w:rPr>
            </w:pPr>
            <w:r w:rsidRPr="001220CC">
              <w:rPr>
                <w:bCs/>
                <w:sz w:val="22"/>
                <w:szCs w:val="22"/>
              </w:rPr>
              <w:t>соответствует</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 xml:space="preserve">Материал </w:t>
            </w:r>
          </w:p>
        </w:tc>
        <w:tc>
          <w:tcPr>
            <w:tcW w:w="1062" w:type="pct"/>
          </w:tcPr>
          <w:p w:rsidR="001220CC" w:rsidRPr="001220CC" w:rsidRDefault="001220CC" w:rsidP="00046F5B">
            <w:pPr>
              <w:jc w:val="center"/>
              <w:rPr>
                <w:sz w:val="22"/>
                <w:szCs w:val="22"/>
              </w:rPr>
            </w:pPr>
            <w:r w:rsidRPr="001220CC">
              <w:rPr>
                <w:bCs/>
                <w:sz w:val="22"/>
                <w:szCs w:val="22"/>
              </w:rPr>
              <w:t xml:space="preserve">распушенная целлюлоза </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Упаковочная коробка</w:t>
            </w:r>
          </w:p>
        </w:tc>
        <w:tc>
          <w:tcPr>
            <w:tcW w:w="1062" w:type="pct"/>
          </w:tcPr>
          <w:p w:rsidR="001220CC" w:rsidRPr="001220CC" w:rsidRDefault="001220CC" w:rsidP="00046F5B">
            <w:pPr>
              <w:jc w:val="center"/>
              <w:rPr>
                <w:sz w:val="22"/>
                <w:szCs w:val="22"/>
              </w:rPr>
            </w:pPr>
            <w:r w:rsidRPr="001220CC">
              <w:rPr>
                <w:sz w:val="22"/>
                <w:szCs w:val="22"/>
              </w:rPr>
              <w:t>наличие</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bl>
    <w:p w:rsidR="001220CC" w:rsidRDefault="001220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80"/>
        <w:gridCol w:w="1890"/>
        <w:gridCol w:w="2165"/>
        <w:gridCol w:w="2031"/>
        <w:gridCol w:w="652"/>
        <w:gridCol w:w="1054"/>
      </w:tblGrid>
      <w:tr w:rsidR="001220CC" w:rsidRPr="001220CC" w:rsidTr="001220CC">
        <w:trPr>
          <w:cantSplit/>
          <w:trHeight w:val="211"/>
        </w:trPr>
        <w:tc>
          <w:tcPr>
            <w:tcW w:w="256" w:type="pct"/>
            <w:vMerge w:val="restart"/>
          </w:tcPr>
          <w:p w:rsidR="001220CC" w:rsidRPr="001220CC" w:rsidRDefault="001220CC" w:rsidP="00046F5B">
            <w:pPr>
              <w:jc w:val="center"/>
              <w:rPr>
                <w:sz w:val="22"/>
                <w:szCs w:val="22"/>
              </w:rPr>
            </w:pPr>
            <w:r w:rsidRPr="001220CC">
              <w:rPr>
                <w:sz w:val="22"/>
                <w:szCs w:val="22"/>
              </w:rPr>
              <w:lastRenderedPageBreak/>
              <w:t>3</w:t>
            </w:r>
          </w:p>
        </w:tc>
        <w:tc>
          <w:tcPr>
            <w:tcW w:w="922" w:type="pct"/>
            <w:vMerge w:val="restart"/>
          </w:tcPr>
          <w:p w:rsidR="001220CC" w:rsidRPr="001220CC" w:rsidRDefault="001220CC" w:rsidP="00046F5B">
            <w:pPr>
              <w:jc w:val="center"/>
              <w:rPr>
                <w:sz w:val="22"/>
                <w:szCs w:val="22"/>
              </w:rPr>
            </w:pPr>
            <w:r w:rsidRPr="001220CC">
              <w:rPr>
                <w:sz w:val="22"/>
                <w:szCs w:val="22"/>
              </w:rPr>
              <w:t>Впитывающие простыни (пеленки) размером не менее 60 x 90 см (</w:t>
            </w:r>
            <w:proofErr w:type="spellStart"/>
            <w:r w:rsidRPr="001220CC">
              <w:rPr>
                <w:sz w:val="22"/>
                <w:szCs w:val="22"/>
              </w:rPr>
              <w:t>впитываемостью</w:t>
            </w:r>
            <w:proofErr w:type="spellEnd"/>
            <w:r w:rsidRPr="001220CC">
              <w:rPr>
                <w:sz w:val="22"/>
                <w:szCs w:val="22"/>
              </w:rPr>
              <w:t xml:space="preserve"> от 1200 до 1900 мл)</w:t>
            </w:r>
          </w:p>
        </w:tc>
        <w:tc>
          <w:tcPr>
            <w:tcW w:w="927" w:type="pct"/>
          </w:tcPr>
          <w:p w:rsidR="001220CC" w:rsidRPr="001220CC" w:rsidRDefault="001220CC" w:rsidP="00046F5B">
            <w:pPr>
              <w:tabs>
                <w:tab w:val="left" w:pos="708"/>
              </w:tabs>
              <w:suppressAutoHyphens/>
              <w:rPr>
                <w:sz w:val="22"/>
                <w:szCs w:val="22"/>
              </w:rPr>
            </w:pPr>
            <w:r w:rsidRPr="001220CC">
              <w:rPr>
                <w:sz w:val="22"/>
                <w:szCs w:val="22"/>
              </w:rPr>
              <w:t xml:space="preserve">Размер, см </w:t>
            </w:r>
          </w:p>
        </w:tc>
        <w:tc>
          <w:tcPr>
            <w:tcW w:w="1062" w:type="pct"/>
          </w:tcPr>
          <w:p w:rsidR="001220CC" w:rsidRPr="001220CC" w:rsidRDefault="001220CC" w:rsidP="00046F5B">
            <w:pPr>
              <w:jc w:val="center"/>
              <w:rPr>
                <w:sz w:val="22"/>
                <w:szCs w:val="22"/>
              </w:rPr>
            </w:pPr>
            <w:r w:rsidRPr="001220CC">
              <w:rPr>
                <w:sz w:val="22"/>
                <w:szCs w:val="22"/>
              </w:rPr>
              <w:t>60*90</w:t>
            </w:r>
          </w:p>
        </w:tc>
        <w:tc>
          <w:tcPr>
            <w:tcW w:w="996" w:type="pct"/>
          </w:tcPr>
          <w:p w:rsidR="001220CC" w:rsidRPr="001220CC" w:rsidRDefault="001220CC" w:rsidP="00046F5B">
            <w:pPr>
              <w:jc w:val="center"/>
              <w:rPr>
                <w:sz w:val="22"/>
                <w:szCs w:val="22"/>
              </w:rPr>
            </w:pPr>
          </w:p>
        </w:tc>
        <w:tc>
          <w:tcPr>
            <w:tcW w:w="320" w:type="pct"/>
            <w:vMerge w:val="restart"/>
          </w:tcPr>
          <w:p w:rsidR="001220CC" w:rsidRPr="001220CC" w:rsidRDefault="001220CC" w:rsidP="00046F5B">
            <w:pPr>
              <w:jc w:val="center"/>
              <w:rPr>
                <w:sz w:val="22"/>
                <w:szCs w:val="22"/>
              </w:rPr>
            </w:pPr>
            <w:r w:rsidRPr="001220CC">
              <w:rPr>
                <w:sz w:val="22"/>
                <w:szCs w:val="22"/>
              </w:rPr>
              <w:t>шт.</w:t>
            </w:r>
          </w:p>
        </w:tc>
        <w:tc>
          <w:tcPr>
            <w:tcW w:w="517" w:type="pct"/>
            <w:vMerge w:val="restart"/>
          </w:tcPr>
          <w:p w:rsidR="001220CC" w:rsidRPr="001220CC" w:rsidRDefault="001220CC" w:rsidP="00046F5B">
            <w:pPr>
              <w:jc w:val="center"/>
              <w:rPr>
                <w:sz w:val="22"/>
                <w:szCs w:val="22"/>
              </w:rPr>
            </w:pPr>
            <w:r w:rsidRPr="001220CC">
              <w:rPr>
                <w:sz w:val="22"/>
                <w:szCs w:val="22"/>
              </w:rPr>
              <w:t>362490</w:t>
            </w: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одноразового пользования</w:t>
            </w:r>
          </w:p>
        </w:tc>
        <w:tc>
          <w:tcPr>
            <w:tcW w:w="1062" w:type="pct"/>
          </w:tcPr>
          <w:p w:rsidR="001220CC" w:rsidRPr="001220CC" w:rsidRDefault="001220CC" w:rsidP="00046F5B">
            <w:pPr>
              <w:jc w:val="center"/>
              <w:rPr>
                <w:sz w:val="22"/>
                <w:szCs w:val="22"/>
              </w:rPr>
            </w:pPr>
            <w:r w:rsidRPr="001220CC">
              <w:rPr>
                <w:sz w:val="22"/>
                <w:szCs w:val="22"/>
              </w:rPr>
              <w:t>соответствует</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proofErr w:type="spellStart"/>
            <w:r w:rsidRPr="001220CC">
              <w:rPr>
                <w:bCs/>
                <w:sz w:val="22"/>
                <w:szCs w:val="22"/>
              </w:rPr>
              <w:t>впитываемость</w:t>
            </w:r>
            <w:proofErr w:type="spellEnd"/>
          </w:p>
        </w:tc>
        <w:tc>
          <w:tcPr>
            <w:tcW w:w="1062" w:type="pct"/>
          </w:tcPr>
          <w:p w:rsidR="001220CC" w:rsidRPr="001220CC" w:rsidRDefault="001220CC" w:rsidP="00046F5B">
            <w:pPr>
              <w:jc w:val="center"/>
              <w:rPr>
                <w:sz w:val="22"/>
                <w:szCs w:val="22"/>
              </w:rPr>
            </w:pPr>
          </w:p>
        </w:tc>
        <w:tc>
          <w:tcPr>
            <w:tcW w:w="996" w:type="pct"/>
          </w:tcPr>
          <w:p w:rsidR="001220CC" w:rsidRPr="001220CC" w:rsidRDefault="001220CC" w:rsidP="00046F5B">
            <w:pPr>
              <w:jc w:val="center"/>
              <w:rPr>
                <w:sz w:val="22"/>
                <w:szCs w:val="22"/>
              </w:rPr>
            </w:pPr>
            <w:r w:rsidRPr="001220CC">
              <w:rPr>
                <w:sz w:val="22"/>
                <w:szCs w:val="22"/>
              </w:rPr>
              <w:t>от 1200 до 1900</w:t>
            </w: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Срок годности Изделий с момента передачи Получателю должен составлять не менее 12 месяцев</w:t>
            </w:r>
          </w:p>
        </w:tc>
        <w:tc>
          <w:tcPr>
            <w:tcW w:w="1062" w:type="pct"/>
          </w:tcPr>
          <w:p w:rsidR="001220CC" w:rsidRPr="001220CC" w:rsidRDefault="001220CC" w:rsidP="00046F5B">
            <w:pPr>
              <w:jc w:val="center"/>
              <w:rPr>
                <w:bCs/>
                <w:sz w:val="22"/>
                <w:szCs w:val="22"/>
              </w:rPr>
            </w:pPr>
            <w:r w:rsidRPr="001220CC">
              <w:rPr>
                <w:bCs/>
                <w:sz w:val="22"/>
                <w:szCs w:val="22"/>
              </w:rPr>
              <w:t>соответствует</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 xml:space="preserve">Материал </w:t>
            </w:r>
          </w:p>
        </w:tc>
        <w:tc>
          <w:tcPr>
            <w:tcW w:w="1062" w:type="pct"/>
          </w:tcPr>
          <w:p w:rsidR="001220CC" w:rsidRPr="001220CC" w:rsidRDefault="001220CC" w:rsidP="00046F5B">
            <w:pPr>
              <w:jc w:val="center"/>
              <w:rPr>
                <w:sz w:val="22"/>
                <w:szCs w:val="22"/>
              </w:rPr>
            </w:pPr>
            <w:r w:rsidRPr="001220CC">
              <w:rPr>
                <w:bCs/>
                <w:sz w:val="22"/>
                <w:szCs w:val="22"/>
              </w:rPr>
              <w:t xml:space="preserve">распушенная целлюлоза </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r w:rsidR="001220CC" w:rsidRPr="001220CC" w:rsidTr="001220CC">
        <w:trPr>
          <w:cantSplit/>
          <w:trHeight w:val="211"/>
        </w:trPr>
        <w:tc>
          <w:tcPr>
            <w:tcW w:w="256" w:type="pct"/>
            <w:vMerge/>
          </w:tcPr>
          <w:p w:rsidR="001220CC" w:rsidRPr="001220CC" w:rsidRDefault="001220CC" w:rsidP="00046F5B">
            <w:pPr>
              <w:jc w:val="center"/>
              <w:rPr>
                <w:sz w:val="22"/>
                <w:szCs w:val="22"/>
              </w:rPr>
            </w:pPr>
          </w:p>
        </w:tc>
        <w:tc>
          <w:tcPr>
            <w:tcW w:w="922" w:type="pct"/>
            <w:vMerge/>
          </w:tcPr>
          <w:p w:rsidR="001220CC" w:rsidRPr="001220CC" w:rsidRDefault="001220CC" w:rsidP="00046F5B">
            <w:pPr>
              <w:jc w:val="center"/>
              <w:rPr>
                <w:bCs/>
                <w:sz w:val="22"/>
                <w:szCs w:val="22"/>
              </w:rPr>
            </w:pPr>
          </w:p>
        </w:tc>
        <w:tc>
          <w:tcPr>
            <w:tcW w:w="927" w:type="pct"/>
          </w:tcPr>
          <w:p w:rsidR="001220CC" w:rsidRPr="001220CC" w:rsidRDefault="001220CC" w:rsidP="00046F5B">
            <w:pPr>
              <w:tabs>
                <w:tab w:val="left" w:pos="708"/>
              </w:tabs>
              <w:suppressAutoHyphens/>
              <w:rPr>
                <w:bCs/>
                <w:sz w:val="22"/>
                <w:szCs w:val="22"/>
              </w:rPr>
            </w:pPr>
            <w:r w:rsidRPr="001220CC">
              <w:rPr>
                <w:bCs/>
                <w:sz w:val="22"/>
                <w:szCs w:val="22"/>
              </w:rPr>
              <w:t>Упаковочная коробка</w:t>
            </w:r>
          </w:p>
        </w:tc>
        <w:tc>
          <w:tcPr>
            <w:tcW w:w="1062" w:type="pct"/>
          </w:tcPr>
          <w:p w:rsidR="001220CC" w:rsidRPr="001220CC" w:rsidRDefault="001220CC" w:rsidP="00046F5B">
            <w:pPr>
              <w:jc w:val="center"/>
              <w:rPr>
                <w:sz w:val="22"/>
                <w:szCs w:val="22"/>
              </w:rPr>
            </w:pPr>
            <w:r w:rsidRPr="001220CC">
              <w:rPr>
                <w:sz w:val="22"/>
                <w:szCs w:val="22"/>
              </w:rPr>
              <w:t>наличие</w:t>
            </w:r>
          </w:p>
        </w:tc>
        <w:tc>
          <w:tcPr>
            <w:tcW w:w="996" w:type="pct"/>
          </w:tcPr>
          <w:p w:rsidR="001220CC" w:rsidRPr="001220CC" w:rsidRDefault="001220CC" w:rsidP="00046F5B">
            <w:pPr>
              <w:jc w:val="center"/>
              <w:rPr>
                <w:sz w:val="22"/>
                <w:szCs w:val="22"/>
              </w:rPr>
            </w:pPr>
          </w:p>
        </w:tc>
        <w:tc>
          <w:tcPr>
            <w:tcW w:w="320" w:type="pct"/>
            <w:vMerge/>
          </w:tcPr>
          <w:p w:rsidR="001220CC" w:rsidRPr="001220CC" w:rsidRDefault="001220CC" w:rsidP="00046F5B">
            <w:pPr>
              <w:jc w:val="center"/>
              <w:rPr>
                <w:sz w:val="22"/>
                <w:szCs w:val="22"/>
              </w:rPr>
            </w:pPr>
          </w:p>
        </w:tc>
        <w:tc>
          <w:tcPr>
            <w:tcW w:w="517" w:type="pct"/>
            <w:vMerge/>
          </w:tcPr>
          <w:p w:rsidR="001220CC" w:rsidRPr="001220CC" w:rsidRDefault="001220CC" w:rsidP="00046F5B">
            <w:pPr>
              <w:jc w:val="center"/>
              <w:rPr>
                <w:sz w:val="22"/>
                <w:szCs w:val="22"/>
              </w:rPr>
            </w:pPr>
          </w:p>
        </w:tc>
      </w:tr>
    </w:tbl>
    <w:p w:rsidR="00C76E73" w:rsidRDefault="00C76E73" w:rsidP="00C76E73">
      <w:pPr>
        <w:widowControl w:val="0"/>
        <w:tabs>
          <w:tab w:val="left" w:pos="708"/>
        </w:tabs>
        <w:suppressAutoHyphens/>
        <w:autoSpaceDE w:val="0"/>
        <w:autoSpaceDN w:val="0"/>
        <w:ind w:firstLine="709"/>
        <w:jc w:val="right"/>
        <w:textAlignment w:val="baseline"/>
        <w:rPr>
          <w:rFonts w:eastAsia="Lucida Sans Unicode"/>
          <w:b/>
          <w:kern w:val="1"/>
          <w:sz w:val="28"/>
          <w:szCs w:val="28"/>
          <w:lang w:eastAsia="ar-SA"/>
        </w:rPr>
      </w:pPr>
    </w:p>
    <w:p w:rsidR="00C76E73" w:rsidRPr="00A631B9" w:rsidRDefault="00C76E73" w:rsidP="00C76E73">
      <w:pPr>
        <w:widowControl w:val="0"/>
        <w:tabs>
          <w:tab w:val="left" w:pos="708"/>
        </w:tabs>
        <w:suppressAutoHyphens/>
        <w:autoSpaceDE w:val="0"/>
        <w:autoSpaceDN w:val="0"/>
        <w:ind w:firstLine="709"/>
        <w:jc w:val="center"/>
        <w:textAlignment w:val="baseline"/>
        <w:rPr>
          <w:rFonts w:eastAsia="Lucida Sans Unicode"/>
          <w:b/>
          <w:kern w:val="3"/>
        </w:rPr>
      </w:pPr>
      <w:r w:rsidRPr="00A631B9">
        <w:rPr>
          <w:rFonts w:eastAsia="Lucida Sans Unicode"/>
          <w:b/>
          <w:kern w:val="3"/>
        </w:rPr>
        <w:t>Наименование, характеристики и количество поставляемых товаров</w:t>
      </w:r>
    </w:p>
    <w:p w:rsidR="00C76E73" w:rsidRPr="00A631B9" w:rsidRDefault="00C76E73" w:rsidP="00C76E73">
      <w:pPr>
        <w:pStyle w:val="ConsPlusNormal"/>
        <w:keepNext/>
        <w:keepLines/>
        <w:jc w:val="both"/>
        <w:rPr>
          <w:rFonts w:ascii="Times New Roman" w:hAnsi="Times New Roman" w:cs="Times New Roman"/>
        </w:rPr>
      </w:pPr>
      <w:r w:rsidRPr="00A631B9">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1D4C81" w:rsidRPr="007463B3" w:rsidRDefault="001D4C81" w:rsidP="009A4C9B">
      <w:pPr>
        <w:spacing w:after="160" w:line="259" w:lineRule="auto"/>
        <w:jc w:val="both"/>
        <w:rPr>
          <w:rFonts w:eastAsia="Andale Sans UI"/>
          <w:kern w:val="1"/>
          <w:sz w:val="26"/>
          <w:szCs w:val="26"/>
          <w:lang w:eastAsia="ar-SA"/>
        </w:rPr>
      </w:pPr>
    </w:p>
    <w:sectPr w:rsidR="001D4C81" w:rsidRPr="007463B3"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F8" w:rsidRDefault="00211DF8" w:rsidP="00D7115C">
      <w:r>
        <w:separator/>
      </w:r>
    </w:p>
  </w:endnote>
  <w:endnote w:type="continuationSeparator" w:id="0">
    <w:p w:rsidR="00211DF8" w:rsidRDefault="00211DF8"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F8" w:rsidRDefault="00211DF8" w:rsidP="00D7115C">
      <w:r>
        <w:separator/>
      </w:r>
    </w:p>
  </w:footnote>
  <w:footnote w:type="continuationSeparator" w:id="0">
    <w:p w:rsidR="00211DF8" w:rsidRDefault="00211DF8" w:rsidP="00D7115C">
      <w:r>
        <w:continuationSeparator/>
      </w:r>
    </w:p>
  </w:footnote>
  <w:footnote w:id="1">
    <w:p w:rsidR="001220CC" w:rsidRDefault="001220CC" w:rsidP="00EF4FB2">
      <w:pPr>
        <w:pStyle w:val="a3"/>
      </w:pPr>
      <w:r>
        <w:rPr>
          <w:vertAlign w:val="superscript"/>
        </w:rPr>
        <w:t xml:space="preserve">1 </w:t>
      </w:r>
      <w:r>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1220CC" w:rsidRDefault="001220CC" w:rsidP="003E7737">
      <w:pPr>
        <w:pStyle w:val="a3"/>
      </w:pPr>
      <w:r>
        <w:rPr>
          <w:vertAlign w:val="superscript"/>
        </w:rPr>
        <w:t>2</w:t>
      </w:r>
      <w:r>
        <w:t xml:space="preserve"> Вносить изменения в наименования показателей не допускается.</w:t>
      </w:r>
    </w:p>
  </w:footnote>
  <w:footnote w:id="3">
    <w:p w:rsidR="001220CC" w:rsidRDefault="001220CC">
      <w:pPr>
        <w:pStyle w:val="a3"/>
      </w:pPr>
      <w:r>
        <w:rPr>
          <w:vertAlign w:val="superscript"/>
        </w:rPr>
        <w:t xml:space="preserve">3 </w:t>
      </w:r>
      <w:r>
        <w:t>Вносить изменения в неизменяемое значение показателя не допускается.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07D6C"/>
    <w:rsid w:val="000210B0"/>
    <w:rsid w:val="000A37D4"/>
    <w:rsid w:val="000D3DE0"/>
    <w:rsid w:val="001220CC"/>
    <w:rsid w:val="00126DEB"/>
    <w:rsid w:val="001A1B23"/>
    <w:rsid w:val="001C3450"/>
    <w:rsid w:val="001D4C81"/>
    <w:rsid w:val="00211DF8"/>
    <w:rsid w:val="00263005"/>
    <w:rsid w:val="003210F2"/>
    <w:rsid w:val="00325915"/>
    <w:rsid w:val="00353703"/>
    <w:rsid w:val="003D486E"/>
    <w:rsid w:val="00420733"/>
    <w:rsid w:val="004667AA"/>
    <w:rsid w:val="004D497F"/>
    <w:rsid w:val="004F2140"/>
    <w:rsid w:val="005935A0"/>
    <w:rsid w:val="007214BD"/>
    <w:rsid w:val="007463B3"/>
    <w:rsid w:val="007C105E"/>
    <w:rsid w:val="00852E8C"/>
    <w:rsid w:val="008A35F0"/>
    <w:rsid w:val="009226AD"/>
    <w:rsid w:val="009A4C9B"/>
    <w:rsid w:val="00AC04AF"/>
    <w:rsid w:val="00B201AE"/>
    <w:rsid w:val="00BB7977"/>
    <w:rsid w:val="00C76E73"/>
    <w:rsid w:val="00CB0C96"/>
    <w:rsid w:val="00CB231F"/>
    <w:rsid w:val="00D01082"/>
    <w:rsid w:val="00D7115C"/>
    <w:rsid w:val="00DC4D5C"/>
    <w:rsid w:val="00DF3576"/>
    <w:rsid w:val="00E35808"/>
    <w:rsid w:val="00E5266C"/>
    <w:rsid w:val="00EF4FB2"/>
    <w:rsid w:val="00F15AE5"/>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C76E7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C76E73"/>
    <w:rPr>
      <w:rFonts w:ascii="Arial" w:eastAsia="Times New Roman" w:hAnsi="Arial" w:cs="Arial"/>
      <w:sz w:val="24"/>
      <w:szCs w:val="24"/>
      <w:lang w:eastAsia="ru-RU"/>
    </w:rPr>
  </w:style>
  <w:style w:type="table" w:styleId="a5">
    <w:name w:val="Table Grid"/>
    <w:basedOn w:val="a1"/>
    <w:uiPriority w:val="39"/>
    <w:rsid w:val="00EF4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26</cp:revision>
  <dcterms:created xsi:type="dcterms:W3CDTF">2020-08-12T05:43:00Z</dcterms:created>
  <dcterms:modified xsi:type="dcterms:W3CDTF">2021-01-11T05:42:00Z</dcterms:modified>
</cp:coreProperties>
</file>